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TO SECTION 13 OR 15(d) OF THE</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25, 2019</w:t>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BANK OF HAWAII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1435" w:right="299" w:bottom="1440" w:gutter="0" w:footer="0" w:header="0"/>
        </w:sectPr>
      </w:pPr>
    </w:p>
    <w:p>
      <w:pPr>
        <w:spacing w:after="0" w:line="36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460"/>
        <w:spacing w:after="0"/>
        <w:rPr>
          <w:sz w:val="20"/>
          <w:szCs w:val="20"/>
          <w:color w:val="auto"/>
        </w:rPr>
      </w:pPr>
      <w:r>
        <w:rPr>
          <w:rFonts w:ascii="Arial" w:cs="Arial" w:eastAsia="Arial" w:hAnsi="Arial"/>
          <w:sz w:val="16"/>
          <w:szCs w:val="16"/>
          <w:b w:val="1"/>
          <w:bCs w:val="1"/>
          <w:color w:val="auto"/>
        </w:rPr>
        <w:t>1-6887</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99-0148992</w:t>
      </w:r>
    </w:p>
    <w:p>
      <w:pPr>
        <w:spacing w:after="0" w:line="90" w:lineRule="exact"/>
        <w:rPr>
          <w:sz w:val="24"/>
          <w:szCs w:val="24"/>
          <w:color w:val="auto"/>
        </w:rPr>
      </w:pPr>
    </w:p>
    <w:p>
      <w:pPr>
        <w:sectPr>
          <w:pgSz w:w="11900" w:h="16838" w:orient="portrait"/>
          <w:cols w:equalWidth="0" w:num="3">
            <w:col w:w="4760" w:space="720"/>
            <w:col w:w="2960" w:space="720"/>
            <w:col w:w="2200"/>
          </w:cols>
          <w:pgMar w:left="240" w:top="1435" w:right="29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3">
            <w:col w:w="4520" w:space="720"/>
            <w:col w:w="3080" w:space="720"/>
            <w:col w:w="2320"/>
          </w:cols>
          <w:pgMar w:left="240" w:top="1435" w:right="299" w:bottom="1440" w:gutter="0" w:footer="0" w:header="0"/>
          <w:type w:val="continuous"/>
        </w:sectPr>
      </w:pPr>
    </w:p>
    <w:p>
      <w:pPr>
        <w:ind w:left="52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8200" w:space="720"/>
            <w:col w:w="2440"/>
          </w:cols>
          <w:pgMar w:left="240" w:top="1435" w:right="299" w:bottom="1440" w:gutter="0" w:footer="0" w:header="0"/>
          <w:type w:val="continuous"/>
        </w:sectPr>
      </w:pPr>
    </w:p>
    <w:p>
      <w:pPr>
        <w:spacing w:after="0" w:line="262" w:lineRule="exact"/>
        <w:rPr>
          <w:sz w:val="24"/>
          <w:szCs w:val="24"/>
          <w:color w:val="auto"/>
        </w:rPr>
      </w:pPr>
    </w:p>
    <w:p>
      <w:pPr>
        <w:ind w:left="1240"/>
        <w:spacing w:after="0"/>
        <w:rPr>
          <w:sz w:val="20"/>
          <w:szCs w:val="20"/>
          <w:color w:val="auto"/>
        </w:rPr>
      </w:pPr>
      <w:r>
        <w:rPr>
          <w:rFonts w:ascii="Arial" w:cs="Arial" w:eastAsia="Arial" w:hAnsi="Arial"/>
          <w:sz w:val="16"/>
          <w:szCs w:val="16"/>
          <w:b w:val="1"/>
          <w:bCs w:val="1"/>
          <w:color w:val="auto"/>
        </w:rPr>
        <w:t>130 Merchant Street, Honolulu, Hawaii</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96813</w:t>
      </w:r>
    </w:p>
    <w:p>
      <w:pPr>
        <w:spacing w:after="0" w:line="101" w:lineRule="exact"/>
        <w:rPr>
          <w:sz w:val="24"/>
          <w:szCs w:val="24"/>
          <w:color w:val="auto"/>
        </w:rPr>
      </w:pPr>
    </w:p>
    <w:p>
      <w:pPr>
        <w:sectPr>
          <w:pgSz w:w="11900" w:h="16838" w:orient="portrait"/>
          <w:cols w:equalWidth="0" w:num="2">
            <w:col w:w="7680" w:space="720"/>
            <w:col w:w="2960"/>
          </w:cols>
          <w:pgMar w:left="240" w:top="1435" w:right="29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1435" w:right="299" w:bottom="1440" w:gutter="0" w:footer="0" w:header="0"/>
          <w:type w:val="continuous"/>
        </w:sectPr>
      </w:pP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(808) 694-8822</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80" w:hanging="186"/>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80" w:hanging="186"/>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80" w:hanging="186"/>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80" w:hanging="186"/>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ind w:right="140" w:firstLine="48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o Emerging growth company</w:t>
      </w:r>
    </w:p>
    <w:p>
      <w:pPr>
        <w:spacing w:after="0" w:line="279"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o 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360"/>
          </w:cols>
          <w:pgMar w:left="240" w:top="1435" w:right="299" w:bottom="1440" w:gutter="0" w:footer="0" w:header="0"/>
          <w:type w:val="continuous"/>
        </w:sectPr>
      </w:pPr>
    </w:p>
    <w:bookmarkStart w:id="1" w:name="page2"/>
    <w:bookmarkEnd w:id="1"/>
    <w:p>
      <w:pPr>
        <w:ind w:right="120"/>
        <w:spacing w:after="0" w:line="282" w:lineRule="auto"/>
        <w:rPr>
          <w:sz w:val="20"/>
          <w:szCs w:val="20"/>
          <w:color w:val="auto"/>
        </w:rPr>
      </w:pPr>
      <w:r>
        <w:rPr>
          <w:rFonts w:ascii="Arial" w:cs="Arial" w:eastAsia="Arial" w:hAnsi="Arial"/>
          <w:sz w:val="18"/>
          <w:szCs w:val="18"/>
          <w:b w:val="1"/>
          <w:bCs w:val="1"/>
          <w:color w:val="auto"/>
        </w:rPr>
        <w:t>Item 5.02 (d)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January 25, 2019, the Board of Directors of Bank of Hawaii Corporation (the “Company”), in accordance with the provisions of the Company’s Certificate of Incorporation and By-Laws (the “Corporate Documents”), increased the authorized number of directors of the Company from 12 to the authorized number of 14. Further, in accordance with the provisions of the Corporate Documents, the Board of Directors of the Company elected John C. Erickson and Joshua D. Feldman to serve as independent directors of the Company in the newly created directorships resulting from the increase in the authorized number of directors from 12 to 14, to serve until the annual election of directors at the Company’s next annual shareholder meeting, subject to their earlier death, disqualification, resignation or removal. Mr. Erickson will serve as a member of the Company’s Nominating and Corporate Governance Committee and Audit and Risk Committee. Mr. Feldman will serve as a member of the Company’s Nominating and Corporate Governance Committee and Human Resources and Compensation Committee. Mr. Erickson and Mr. Feldman will participate in the existing director compensation and restricted stock program, pro-rated to reflect the remaining balance of the annual director term.</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January 25, 2019</w:t>
            </w:r>
          </w:p>
        </w:tc>
        <w:tc>
          <w:tcPr>
            <w:tcW w:w="7740" w:type="dxa"/>
            <w:vAlign w:val="bottom"/>
            <w:gridSpan w:val="2"/>
          </w:tcPr>
          <w:p>
            <w:pPr>
              <w:ind w:left="1960"/>
              <w:spacing w:after="0"/>
              <w:rPr>
                <w:sz w:val="20"/>
                <w:szCs w:val="20"/>
                <w:color w:val="auto"/>
              </w:rPr>
            </w:pPr>
            <w:r>
              <w:rPr>
                <w:rFonts w:ascii="Arial" w:cs="Arial" w:eastAsia="Arial" w:hAnsi="Arial"/>
                <w:sz w:val="18"/>
                <w:szCs w:val="18"/>
                <w:color w:val="auto"/>
              </w:rPr>
              <w:t>Bank of Hawaii Corporation</w:t>
            </w:r>
          </w:p>
        </w:tc>
      </w:tr>
      <w:tr>
        <w:trPr>
          <w:trHeight w:val="540"/>
        </w:trPr>
        <w:tc>
          <w:tcPr>
            <w:tcW w:w="3640" w:type="dxa"/>
            <w:vAlign w:val="bottom"/>
          </w:tcPr>
          <w:p>
            <w:pPr>
              <w:spacing w:after="0"/>
              <w:rPr>
                <w:sz w:val="24"/>
                <w:szCs w:val="24"/>
                <w:color w:val="auto"/>
              </w:rPr>
            </w:pPr>
          </w:p>
        </w:tc>
        <w:tc>
          <w:tcPr>
            <w:tcW w:w="272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Mark A. Rossi</w:t>
            </w:r>
          </w:p>
        </w:tc>
      </w:tr>
      <w:tr>
        <w:trPr>
          <w:trHeight w:val="27"/>
        </w:trPr>
        <w:tc>
          <w:tcPr>
            <w:tcW w:w="3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Mark A. Rossi</w:t>
            </w:r>
          </w:p>
        </w:tc>
      </w:tr>
      <w:tr>
        <w:trPr>
          <w:trHeight w:val="270"/>
        </w:trPr>
        <w:tc>
          <w:tcPr>
            <w:tcW w:w="3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Vice Chairman and Corporate Secretary</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2019-12-04T23:14:43Z</dcterms:created>
  <dcterms:modified xsi:type="dcterms:W3CDTF">2019-12-04T23:14:43Z</dcterms:modified>
</cp:coreProperties>
</file>