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 for the quarterly period ended June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for the transition period from ______ to</w:t>
            </w:r>
          </w:p>
        </w:tc>
      </w:tr>
    </w:tbl>
    <w:p>
      <w:pPr>
        <w:pStyle w:val="TextBody"/>
        <w:bidi w:val="0"/>
        <w:spacing w:lineRule="auto" w:line="288" w:before="0" w:after="40"/>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20"/>
        </w:rPr>
        <w:t>1-6887</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BANK OF HAWAII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812" w:type="dxa"/>
        <w:jc w:val="left"/>
        <w:tblInd w:w="0" w:type="dxa"/>
        <w:tblLayout w:type="fixed"/>
        <w:tblCellMar>
          <w:top w:w="28" w:type="dxa"/>
          <w:left w:w="28" w:type="dxa"/>
          <w:bottom w:w="28" w:type="dxa"/>
          <w:right w:w="28" w:type="dxa"/>
        </w:tblCellMar>
      </w:tblPr>
      <w:tblGrid>
        <w:gridCol w:w="639"/>
        <w:gridCol w:w="563"/>
        <w:gridCol w:w="568"/>
        <w:gridCol w:w="109"/>
        <w:gridCol w:w="109"/>
        <w:gridCol w:w="109"/>
        <w:gridCol w:w="791"/>
        <w:gridCol w:w="791"/>
        <w:gridCol w:w="1133"/>
      </w:tblGrid>
      <w:tr>
        <w:trPr/>
        <w:tc>
          <w:tcPr>
            <w:tcW w:w="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99-0148992</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6233" w:type="dxa"/>
        <w:jc w:val="left"/>
        <w:tblInd w:w="0" w:type="dxa"/>
        <w:tblLayout w:type="fixed"/>
        <w:tblCellMar>
          <w:top w:w="28" w:type="dxa"/>
          <w:left w:w="28" w:type="dxa"/>
          <w:bottom w:w="28" w:type="dxa"/>
          <w:right w:w="28" w:type="dxa"/>
        </w:tblCellMar>
      </w:tblPr>
      <w:tblGrid>
        <w:gridCol w:w="1036"/>
        <w:gridCol w:w="911"/>
        <w:gridCol w:w="918"/>
        <w:gridCol w:w="109"/>
        <w:gridCol w:w="109"/>
        <w:gridCol w:w="109"/>
        <w:gridCol w:w="275"/>
        <w:gridCol w:w="275"/>
        <w:gridCol w:w="276"/>
        <w:gridCol w:w="109"/>
        <w:gridCol w:w="109"/>
        <w:gridCol w:w="109"/>
        <w:gridCol w:w="215"/>
        <w:gridCol w:w="215"/>
        <w:gridCol w:w="216"/>
        <w:gridCol w:w="109"/>
        <w:gridCol w:w="109"/>
        <w:gridCol w:w="109"/>
        <w:gridCol w:w="268"/>
        <w:gridCol w:w="268"/>
        <w:gridCol w:w="37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130 Merchant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Honolulu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Hawaii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96813</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color w:val="000000"/>
          <w:sz w:val="18"/>
        </w:rPr>
        <w:t>1-</w:t>
      </w:r>
      <w:r>
        <w:rPr>
          <w:rFonts w:ascii="Times New Roman;serif" w:hAnsi="Times New Roman;serif"/>
          <w:b/>
          <w:color w:val="000000"/>
          <w:sz w:val="20"/>
        </w:rPr>
        <w:t>888</w:t>
      </w:r>
      <w:r>
        <w:rPr>
          <w:rFonts w:ascii="Times New Roman;serif" w:hAnsi="Times New Roman;serif"/>
          <w:b/>
          <w:color w:val="000000"/>
          <w:sz w:val="18"/>
        </w:rPr>
        <w:t>-</w:t>
      </w:r>
      <w:r>
        <w:rPr>
          <w:rFonts w:ascii="Times New Roman;serif" w:hAnsi="Times New Roman;serif"/>
          <w:b/>
          <w:color w:val="000000"/>
          <w:sz w:val="20"/>
        </w:rPr>
        <w:t>643-3888</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3"/>
        <w:gridCol w:w="1885"/>
        <w:gridCol w:w="1889"/>
        <w:gridCol w:w="109"/>
        <w:gridCol w:w="109"/>
        <w:gridCol w:w="109"/>
        <w:gridCol w:w="419"/>
        <w:gridCol w:w="350"/>
        <w:gridCol w:w="325"/>
        <w:gridCol w:w="109"/>
        <w:gridCol w:w="109"/>
        <w:gridCol w:w="109"/>
        <w:gridCol w:w="645"/>
        <w:gridCol w:w="617"/>
        <w:gridCol w:w="878"/>
      </w:tblGrid>
      <w:tr>
        <w:trPr/>
        <w:tc>
          <w:tcPr>
            <w:tcW w:w="2543"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63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Depository Shares, Each Representing 1/40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Interest in a Share of 4.375% Fixed Rate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BOH.PRA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63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Depository Shares, Each Representing 1/40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Interest in a Share of 8.000% Fixed Rate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BOH.PRB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20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As of July 21, 2026, there were 39,450,396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720"/>
                        <w:jc w:val="center"/>
                        <w:rPr/>
                      </w:pPr>
                      <w:r>
                        <w:rPr/>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Bank of Hawaii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491"/>
        <w:gridCol w:w="421"/>
        <w:gridCol w:w="414"/>
        <w:gridCol w:w="2780"/>
        <w:gridCol w:w="2753"/>
        <w:gridCol w:w="2772"/>
        <w:gridCol w:w="167"/>
        <w:gridCol w:w="167"/>
        <w:gridCol w:w="240"/>
      </w:tblGrid>
      <w:tr>
        <w:trPr/>
        <w:tc>
          <w:tcPr>
            <w:tcW w:w="4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0">
              <w:r>
                <w:rPr>
                  <w:rStyle w:val="InternetLink"/>
                  <w:rFonts w:ascii="Times New Roman;serif" w:hAnsi="Times New Roman;serif"/>
                  <w:b/>
                  <w:color w:val="0E32E1"/>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0">
              <w:r>
                <w:rPr>
                  <w:rStyle w:val="InternetLink"/>
                  <w:rFonts w:ascii="Times New Roman;serif" w:hAnsi="Times New Roman;serif"/>
                  <w:b w:val="false"/>
                  <w:strike w:val="false"/>
                  <w:dstrike w:val="false"/>
                  <w:color w:val="000000"/>
                  <w:sz w:val="20"/>
                  <w:u w:val="none"/>
                  <w:effect w:val="none"/>
                </w:rPr>
                <w:t>2</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
              <w:r>
                <w:rPr>
                  <w:rStyle w:val="InternetLink"/>
                  <w:rFonts w:ascii="Times New Roman;serif" w:hAnsi="Times New Roman;serif"/>
                  <w:b w:val="false"/>
                  <w:strike w:val="false"/>
                  <w:dstrike w:val="false"/>
                  <w:color w:val="000000"/>
                  <w:sz w:val="20"/>
                  <w:u w:val="none"/>
                  <w:effect w:val="none"/>
                </w:rPr>
                <w:t>Item 1.</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
              <w:r>
                <w:rPr>
                  <w:rStyle w:val="InternetLink"/>
                  <w:rFonts w:ascii="Times New Roman;serif" w:hAnsi="Times New Roman;serif"/>
                  <w:b w:val="false"/>
                  <w:color w:val="0E32E1"/>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3">
              <w:r>
                <w:rPr>
                  <w:rStyle w:val="InternetLink"/>
                  <w:rFonts w:ascii="Times New Roman;serif" w:hAnsi="Times New Roman;serif"/>
                  <w:b w:val="false"/>
                  <w:strike w:val="false"/>
                  <w:dstrike w:val="false"/>
                  <w:color w:val="000000"/>
                  <w:sz w:val="20"/>
                  <w:u w:val="none"/>
                  <w:effect w:val="none"/>
                </w:rPr>
                <w:t>2</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6">
              <w:r>
                <w:rPr>
                  <w:rStyle w:val="InternetLink"/>
                  <w:rFonts w:ascii="Times New Roman;serif" w:hAnsi="Times New Roman;serif"/>
                  <w:b w:val="false"/>
                  <w:color w:val="0E32E1"/>
                  <w:sz w:val="20"/>
                  <w:u w:val="single"/>
                </w:rPr>
                <w:t>Consolidated Statements of Condition -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6">
              <w:r>
                <w:rPr>
                  <w:rStyle w:val="InternetLink"/>
                  <w:rFonts w:ascii="Times New Roman;serif" w:hAnsi="Times New Roman;serif"/>
                  <w:b w:val="false"/>
                  <w:strike w:val="false"/>
                  <w:dstrike w:val="false"/>
                  <w:color w:val="000000"/>
                  <w:sz w:val="20"/>
                  <w:u w:val="none"/>
                  <w:effect w:val="none"/>
                </w:rPr>
                <w:t>2</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9">
              <w:r>
                <w:rPr>
                  <w:rStyle w:val="InternetLink"/>
                  <w:rFonts w:ascii="Times New Roman;serif" w:hAnsi="Times New Roman;serif"/>
                  <w:b w:val="false"/>
                  <w:color w:val="0E32E1"/>
                  <w:sz w:val="20"/>
                  <w:u w:val="single"/>
                </w:rPr>
                <w:t>Consolidated Statements of Income -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9">
              <w:r>
                <w:rPr>
                  <w:rStyle w:val="InternetLink"/>
                  <w:rFonts w:ascii="Times New Roman;serif" w:hAnsi="Times New Roman;serif"/>
                  <w:b w:val="false"/>
                  <w:strike w:val="false"/>
                  <w:dstrike w:val="false"/>
                  <w:color w:val="000000"/>
                  <w:sz w:val="20"/>
                  <w:u w:val="none"/>
                  <w:effect w:val="none"/>
                </w:rPr>
                <w:t>3</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22">
              <w:r>
                <w:rPr>
                  <w:rStyle w:val="InternetLink"/>
                  <w:rFonts w:ascii="Times New Roman;serif" w:hAnsi="Times New Roman;serif"/>
                  <w:b w:val="false"/>
                  <w:color w:val="0E32E1"/>
                  <w:sz w:val="20"/>
                  <w:u w:val="single"/>
                </w:rPr>
                <w:t>Consolidated Statements of Comprehensive Income -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22">
              <w:r>
                <w:rPr>
                  <w:rStyle w:val="InternetLink"/>
                  <w:rFonts w:ascii="Times New Roman;serif" w:hAnsi="Times New Roman;serif"/>
                  <w:b w:val="false"/>
                  <w:strike w:val="false"/>
                  <w:dstrike w:val="false"/>
                  <w:color w:val="000000"/>
                  <w:sz w:val="20"/>
                  <w:u w:val="none"/>
                  <w:effect w:val="none"/>
                </w:rPr>
                <w:t>4</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25">
              <w:r>
                <w:rPr>
                  <w:rStyle w:val="InternetLink"/>
                  <w:rFonts w:ascii="Times New Roman;serif" w:hAnsi="Times New Roman;serif"/>
                  <w:b w:val="false"/>
                  <w:color w:val="0E32E1"/>
                  <w:sz w:val="20"/>
                  <w:u w:val="single"/>
                </w:rPr>
                <w:t>Consolidated Statements of Shareholders’ Equity -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25">
              <w:r>
                <w:rPr>
                  <w:rStyle w:val="InternetLink"/>
                  <w:rFonts w:ascii="Times New Roman;serif" w:hAnsi="Times New Roman;serif"/>
                  <w:b w:val="false"/>
                  <w:strike w:val="false"/>
                  <w:dstrike w:val="false"/>
                  <w:color w:val="000000"/>
                  <w:sz w:val="20"/>
                  <w:u w:val="none"/>
                  <w:effect w:val="none"/>
                </w:rPr>
                <w:t>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31">
              <w:r>
                <w:rPr>
                  <w:rStyle w:val="InternetLink"/>
                  <w:rFonts w:ascii="Times New Roman;serif" w:hAnsi="Times New Roman;serif"/>
                  <w:b w:val="false"/>
                  <w:color w:val="0E32E1"/>
                  <w:sz w:val="20"/>
                  <w:u w:val="single"/>
                </w:rPr>
                <w:t>Consolidated Statements of Cash Flows -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31">
              <w:r>
                <w:rPr>
                  <w:rStyle w:val="InternetLink"/>
                  <w:rFonts w:ascii="Times New Roman;serif" w:hAnsi="Times New Roman;serif"/>
                  <w:b w:val="false"/>
                  <w:strike w:val="false"/>
                  <w:dstrike w:val="false"/>
                  <w:color w:val="000000"/>
                  <w:sz w:val="20"/>
                  <w:u w:val="none"/>
                  <w:effect w:val="none"/>
                </w:rPr>
                <w:t>7</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34">
              <w:r>
                <w:rPr>
                  <w:rStyle w:val="InternetLink"/>
                  <w:rFonts w:ascii="Times New Roman;serif" w:hAnsi="Times New Roman;serif"/>
                  <w:b w:val="false"/>
                  <w:color w:val="0E32E1"/>
                  <w:sz w:val="20"/>
                  <w:u w:val="single"/>
                </w:rPr>
                <w:t>Notes to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34">
              <w:r>
                <w:rPr>
                  <w:rStyle w:val="InternetLink"/>
                  <w:rFonts w:ascii="Times New Roman;serif" w:hAnsi="Times New Roman;serif"/>
                  <w:b w:val="false"/>
                  <w:strike w:val="false"/>
                  <w:dstrike w:val="false"/>
                  <w:color w:val="000000"/>
                  <w:sz w:val="20"/>
                  <w:u w:val="none"/>
                  <w:effect w:val="none"/>
                </w:rPr>
                <w:t>8</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79">
              <w:r>
                <w:rPr>
                  <w:rStyle w:val="InternetLink"/>
                  <w:rFonts w:ascii="Times New Roman;serif" w:hAnsi="Times New Roman;serif"/>
                  <w:b w:val="false"/>
                  <w:strike w:val="false"/>
                  <w:dstrike w:val="false"/>
                  <w:color w:val="000000"/>
                  <w:sz w:val="20"/>
                  <w:u w:val="none"/>
                  <w:effect w:val="none"/>
                </w:rPr>
                <w:t>Item 2.</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79">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79">
              <w:r>
                <w:rPr>
                  <w:rStyle w:val="InternetLink"/>
                  <w:rFonts w:ascii="Times New Roman;serif" w:hAnsi="Times New Roman;serif"/>
                  <w:b w:val="false"/>
                  <w:strike w:val="false"/>
                  <w:dstrike w:val="false"/>
                  <w:color w:val="000000"/>
                  <w:sz w:val="20"/>
                  <w:u w:val="none"/>
                  <w:effect w:val="none"/>
                </w:rPr>
                <w:t>43</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0">
              <w:r>
                <w:rPr>
                  <w:rStyle w:val="InternetLink"/>
                  <w:rFonts w:ascii="Times New Roman;serif" w:hAnsi="Times New Roman;serif"/>
                  <w:b w:val="false"/>
                  <w:strike w:val="false"/>
                  <w:dstrike w:val="false"/>
                  <w:color w:val="000000"/>
                  <w:sz w:val="20"/>
                  <w:u w:val="none"/>
                  <w:effect w:val="none"/>
                </w:rPr>
                <w:t>Item 3.</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0">
              <w:r>
                <w:rPr>
                  <w:rStyle w:val="InternetLink"/>
                  <w:rFonts w:ascii="Times New Roman;serif" w:hAnsi="Times New Roman;serif"/>
                  <w:b w:val="false"/>
                  <w:color w:val="0E32E1"/>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30">
              <w:r>
                <w:rPr>
                  <w:rStyle w:val="InternetLink"/>
                  <w:rFonts w:ascii="Times New Roman;serif" w:hAnsi="Times New Roman;serif"/>
                  <w:b w:val="false"/>
                  <w:strike w:val="false"/>
                  <w:dstrike w:val="false"/>
                  <w:color w:val="000000"/>
                  <w:sz w:val="20"/>
                  <w:u w:val="none"/>
                  <w:effect w:val="none"/>
                </w:rPr>
                <w:t>63</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3">
              <w:r>
                <w:rPr>
                  <w:rStyle w:val="InternetLink"/>
                  <w:rFonts w:ascii="Times New Roman;serif" w:hAnsi="Times New Roman;serif"/>
                  <w:b w:val="false"/>
                  <w:strike w:val="false"/>
                  <w:dstrike w:val="false"/>
                  <w:color w:val="000000"/>
                  <w:sz w:val="20"/>
                  <w:u w:val="none"/>
                  <w:effect w:val="none"/>
                </w:rPr>
                <w:t>Item 4.</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3">
              <w:r>
                <w:rPr>
                  <w:rStyle w:val="InternetLink"/>
                  <w:rFonts w:ascii="Times New Roman;serif" w:hAnsi="Times New Roman;serif"/>
                  <w:b w:val="false"/>
                  <w:color w:val="0E32E1"/>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33">
              <w:r>
                <w:rPr>
                  <w:rStyle w:val="InternetLink"/>
                  <w:rFonts w:ascii="Times New Roman;serif" w:hAnsi="Times New Roman;serif"/>
                  <w:b w:val="false"/>
                  <w:strike w:val="false"/>
                  <w:dstrike w:val="false"/>
                  <w:color w:val="000000"/>
                  <w:sz w:val="20"/>
                  <w:u w:val="none"/>
                  <w:effect w:val="none"/>
                </w:rPr>
                <w:t>64</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6">
              <w:r>
                <w:rPr>
                  <w:rStyle w:val="InternetLink"/>
                  <w:rFonts w:ascii="Times New Roman;serif" w:hAnsi="Times New Roman;serif"/>
                  <w:b/>
                  <w:color w:val="0E32E1"/>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36">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9">
              <w:r>
                <w:rPr>
                  <w:rStyle w:val="InternetLink"/>
                  <w:rFonts w:ascii="Times New Roman;serif" w:hAnsi="Times New Roman;serif"/>
                  <w:b w:val="false"/>
                  <w:strike w:val="false"/>
                  <w:dstrike w:val="false"/>
                  <w:color w:val="000000"/>
                  <w:sz w:val="20"/>
                  <w:u w:val="none"/>
                  <w:effect w:val="none"/>
                </w:rPr>
                <w:t>Item 1.</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39">
              <w:r>
                <w:rPr>
                  <w:rStyle w:val="InternetLink"/>
                  <w:rFonts w:ascii="Times New Roman;serif" w:hAnsi="Times New Roman;serif"/>
                  <w:b w:val="false"/>
                  <w:color w:val="0E32E1"/>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39">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42">
              <w:r>
                <w:rPr>
                  <w:rStyle w:val="InternetLink"/>
                  <w:rFonts w:ascii="Times New Roman;serif" w:hAnsi="Times New Roman;serif"/>
                  <w:b w:val="false"/>
                  <w:strike w:val="false"/>
                  <w:dstrike w:val="false"/>
                  <w:color w:val="000000"/>
                  <w:sz w:val="20"/>
                  <w:u w:val="none"/>
                  <w:effect w:val="none"/>
                </w:rPr>
                <w:t>Item 1A.</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42">
              <w:r>
                <w:rPr>
                  <w:rStyle w:val="InternetLink"/>
                  <w:rFonts w:ascii="Times New Roman;serif" w:hAnsi="Times New Roman;serif"/>
                  <w:b w:val="false"/>
                  <w:color w:val="0E32E1"/>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42">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45">
              <w:r>
                <w:rPr>
                  <w:rStyle w:val="InternetLink"/>
                  <w:rFonts w:ascii="Times New Roman;serif" w:hAnsi="Times New Roman;serif"/>
                  <w:b w:val="false"/>
                  <w:strike w:val="false"/>
                  <w:dstrike w:val="false"/>
                  <w:color w:val="000000"/>
                  <w:sz w:val="20"/>
                  <w:u w:val="none"/>
                  <w:effect w:val="none"/>
                </w:rPr>
                <w:t>Item 2.</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45">
              <w:r>
                <w:rPr>
                  <w:rStyle w:val="InternetLink"/>
                  <w:rFonts w:ascii="Times New Roman;serif" w:hAnsi="Times New Roman;serif"/>
                  <w:b w:val="false"/>
                  <w:color w:val="0E32E1"/>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45">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48">
              <w:r>
                <w:rPr>
                  <w:rStyle w:val="InternetLink"/>
                  <w:rFonts w:ascii="Times New Roman;serif" w:hAnsi="Times New Roman;serif"/>
                  <w:b w:val="false"/>
                  <w:color w:val="0E32E1"/>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48">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51">
              <w:r>
                <w:rPr>
                  <w:rStyle w:val="InternetLink"/>
                  <w:rFonts w:ascii="Times New Roman;serif" w:hAnsi="Times New Roman;serif"/>
                  <w:b w:val="false"/>
                  <w:color w:val="0E32E1"/>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51">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54">
              <w:r>
                <w:rPr>
                  <w:rStyle w:val="InternetLink"/>
                  <w:rFonts w:ascii="Times New Roman;serif" w:hAnsi="Times New Roman;serif"/>
                  <w:b w:val="false"/>
                  <w:strike w:val="false"/>
                  <w:dstrike w:val="false"/>
                  <w:color w:val="000000"/>
                  <w:sz w:val="20"/>
                  <w:u w:val="none"/>
                  <w:effect w:val="none"/>
                </w:rPr>
                <w:t>Item 5.</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54">
              <w:r>
                <w:rPr>
                  <w:rStyle w:val="InternetLink"/>
                  <w:rFonts w:ascii="Times New Roman;serif" w:hAnsi="Times New Roman;serif"/>
                  <w:b w:val="false"/>
                  <w:color w:val="0E32E1"/>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54">
              <w:r>
                <w:rPr>
                  <w:rStyle w:val="InternetLink"/>
                  <w:rFonts w:ascii="Times New Roman;serif" w:hAnsi="Times New Roman;serif"/>
                  <w:b w:val="false"/>
                  <w:strike w:val="false"/>
                  <w:dstrike w:val="false"/>
                  <w:color w:val="000000"/>
                  <w:sz w:val="20"/>
                  <w:u w:val="none"/>
                  <w:effect w:val="none"/>
                </w:rPr>
                <w:t>65</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60">
              <w:r>
                <w:rPr>
                  <w:rStyle w:val="InternetLink"/>
                  <w:rFonts w:ascii="Times New Roman;serif" w:hAnsi="Times New Roman;serif"/>
                  <w:b w:val="false"/>
                  <w:strike w:val="false"/>
                  <w:dstrike w:val="false"/>
                  <w:color w:val="000000"/>
                  <w:sz w:val="20"/>
                  <w:u w:val="none"/>
                  <w:effect w:val="none"/>
                </w:rPr>
                <w:t>Item 6.</w:t>
              </w:r>
            </w:hyperlink>
          </w:p>
        </w:tc>
        <w:tc>
          <w:tcPr>
            <w:tcW w:w="83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60">
              <w:r>
                <w:rPr>
                  <w:rStyle w:val="InternetLink"/>
                  <w:rFonts w:ascii="Times New Roman;serif" w:hAnsi="Times New Roman;serif"/>
                  <w:b w:val="false"/>
                  <w:color w:val="0E32E1"/>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60">
              <w:r>
                <w:rPr>
                  <w:rStyle w:val="InternetLink"/>
                  <w:rFonts w:ascii="Times New Roman;serif" w:hAnsi="Times New Roman;serif"/>
                  <w:b w:val="false"/>
                  <w:strike w:val="false"/>
                  <w:dstrike w:val="false"/>
                  <w:color w:val="000000"/>
                  <w:sz w:val="20"/>
                  <w:u w:val="none"/>
                  <w:effect w:val="none"/>
                </w:rPr>
                <w:t>66</w:t>
              </w:r>
            </w:hyperlink>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7b990af1fa4ce0a68a38e566b97860_163">
              <w:r>
                <w:rPr>
                  <w:rStyle w:val="InternetLink"/>
                  <w:rFonts w:ascii="Times New Roman;serif" w:hAnsi="Times New Roman;serif"/>
                  <w:b w:val="false"/>
                  <w:color w:val="0E32E1"/>
                  <w:sz w:val="20"/>
                  <w:u w:val="single"/>
                </w:rPr>
                <w:t>Signatures</w:t>
              </w:r>
            </w:hyperlink>
          </w:p>
        </w:tc>
        <w:tc>
          <w:tcPr>
            <w:tcW w:w="8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27b990af1fa4ce0a68a38e566b97860_163">
              <w:r>
                <w:rPr>
                  <w:rStyle w:val="InternetLink"/>
                  <w:rFonts w:ascii="Times New Roman;serif" w:hAnsi="Times New Roman;serif"/>
                  <w:b w:val="false"/>
                  <w:strike w:val="false"/>
                  <w:dstrike w:val="false"/>
                  <w:color w:val="000000"/>
                  <w:sz w:val="20"/>
                  <w:u w:val="none"/>
                  <w:effect w:val="non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Condition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7"/>
        <w:gridCol w:w="2070"/>
        <w:gridCol w:w="2085"/>
        <w:gridCol w:w="109"/>
        <w:gridCol w:w="109"/>
        <w:gridCol w:w="109"/>
        <w:gridCol w:w="196"/>
        <w:gridCol w:w="961"/>
        <w:gridCol w:w="109"/>
        <w:gridCol w:w="109"/>
        <w:gridCol w:w="109"/>
        <w:gridCol w:w="109"/>
        <w:gridCol w:w="212"/>
        <w:gridCol w:w="1042"/>
        <w:gridCol w:w="169"/>
      </w:tblGrid>
      <w:tr>
        <w:trPr/>
        <w:tc>
          <w:tcPr>
            <w:tcW w:w="2707"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946,520 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3,510,652 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Held-to-Maturity (Fair Value of $3,452,980 and $3,651,966)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4,070,908 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4,245,681 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14,082,050 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Loans and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14,139,630 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13,935,284 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199,747 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632,021 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23,842,940 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24,176,364 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5,755,371 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3,910,952 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8,741,090 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2,781,082 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20,892,775 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21,188,495 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558,176 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Benefits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393,570 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21,967,473 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22,325,152 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(Series A, $.01 par value; authorized 180,000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(Series B, $.01 par value; authorized 165,000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($.01 par value; authorized 500,000,000 shares; issued / outstanding: June 30, 2026 - 59,020,336 / 39,439,677); and December 31, 2025 - 58,780,253 / 39,725,698)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664,781 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2,205,707 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(Shares: June 30, 2026 - 19,580,659 and December 31, 2025 - 19,054,555)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(1,120,425)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1,875,467 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1,851,212 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23,842,940 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24,176,364 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Statements of Income (Unaudited)</w:t>
      </w:r>
    </w:p>
    <w:tbl>
      <w:tblPr>
        <w:tblW w:w="8640" w:type="dxa"/>
        <w:jc w:val="center"/>
        <w:tblInd w:w="0" w:type="dxa"/>
        <w:tblLayout w:type="fixed"/>
        <w:tblCellMar>
          <w:top w:w="28" w:type="dxa"/>
          <w:left w:w="28" w:type="dxa"/>
          <w:bottom w:w="28" w:type="dxa"/>
          <w:right w:w="28" w:type="dxa"/>
        </w:tblCellMar>
      </w:tblPr>
      <w:tblGrid>
        <w:gridCol w:w="1380"/>
        <w:gridCol w:w="1210"/>
        <w:gridCol w:w="1219"/>
        <w:gridCol w:w="536"/>
        <w:gridCol w:w="345"/>
        <w:gridCol w:w="346"/>
        <w:gridCol w:w="536"/>
        <w:gridCol w:w="345"/>
        <w:gridCol w:w="346"/>
        <w:gridCol w:w="475"/>
        <w:gridCol w:w="345"/>
        <w:gridCol w:w="346"/>
        <w:gridCol w:w="475"/>
        <w:gridCol w:w="305"/>
        <w:gridCol w:w="431"/>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37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Fees on Loans and Leases</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168,624</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166,779</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333,093</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329,861</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Investment Securities</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36,397</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27,007</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70,972</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18,056</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36,597</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40,126</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1,726</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3,817</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5,055</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9,277</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2,182</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Income</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226,116</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218,535</w:t>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448,323</w:t>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432,821</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65,804</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82,476</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130,690</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164,168</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6,217</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12,062</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11,928</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72,512</w:t>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88,852</w:t>
            </w:r>
          </w:p>
        </w:tc>
        <w:tc>
          <w:tcPr>
            <w:tcW w:w="1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143,729</w:t>
            </w:r>
          </w:p>
        </w:tc>
        <w:tc>
          <w:tcPr>
            <w:tcW w:w="12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177,331</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153,604</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129,683</w:t>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304,594</w:t>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255,490</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3,250</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5,350</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6,500</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150,004</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126,433</w:t>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299,244</w:t>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248,990</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Asset Management</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13,712</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12,097</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26,157</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23,838</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Fees, Exchange, and Other Service Charges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11,127</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14,383</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22,055</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28,820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8,353</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8,119</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16,793</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16,378</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3,714</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8,070</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Annuity and Insurance</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3,486</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1,715</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Losses, Net</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(1,287)</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(1,126)</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(2,559)</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4,615</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5,322</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8,914</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10,396</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Noninterest Income</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43,299</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44,795</w:t>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84,631</w:t>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88,853</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Benefits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62,642</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61,308</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131,099</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124,192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10,868</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10,499</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21,650</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21,058</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Equipment</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10,604</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9,977</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21,215</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20,169</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5,463</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5,456</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11,044</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10,723</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5,276</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9,502</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8,527</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FDIC Insurance</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2,978</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3,640</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5,697</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5,282</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13,355</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15,640</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27,050</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31,291</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Noninterest Expense</w:t>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111,186</w:t>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110,783</w:t>
            </w:r>
          </w:p>
        </w:tc>
        <w:tc>
          <w:tcPr>
            <w:tcW w:w="1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227,257</w:t>
            </w:r>
          </w:p>
        </w:tc>
        <w:tc>
          <w:tcPr>
            <w:tcW w:w="12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221,242</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82,117</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60,445</w:t>
            </w:r>
          </w:p>
        </w:tc>
        <w:tc>
          <w:tcPr>
            <w:tcW w:w="11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156,618</w:t>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116,601</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18,318</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12,808</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35,387</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24,979</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63,799</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47,637</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121,231</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91,622</w:t>
            </w:r>
          </w:p>
        </w:tc>
      </w:tr>
      <w:tr>
        <w:trPr/>
        <w:tc>
          <w:tcPr>
            <w:tcW w:w="380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122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5,269</w:t>
            </w:r>
          </w:p>
        </w:tc>
        <w:tc>
          <w:tcPr>
            <w:tcW w:w="122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5,269</w:t>
            </w:r>
          </w:p>
        </w:tc>
        <w:tc>
          <w:tcPr>
            <w:tcW w:w="11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10,538</w:t>
            </w:r>
          </w:p>
        </w:tc>
        <w:tc>
          <w:tcPr>
            <w:tcW w:w="121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10,538</w:t>
            </w:r>
          </w:p>
        </w:tc>
      </w:tr>
      <w:tr>
        <w:trPr/>
        <w:tc>
          <w:tcPr>
            <w:tcW w:w="3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Available to Common Shareholders</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58,530</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42,368</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110,693</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81,084</w:t>
            </w:r>
          </w:p>
        </w:tc>
      </w:tr>
      <w:tr>
        <w:trPr/>
        <w:tc>
          <w:tcPr>
            <w:tcW w:w="380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Common Share</w:t>
            </w:r>
          </w:p>
        </w:tc>
        <w:tc>
          <w:tcPr>
            <w:tcW w:w="5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5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4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4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Common Shares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39,513,447</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39,622,998</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39,540,239</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39,588,916</w:t>
            </w:r>
          </w:p>
        </w:tc>
      </w:tr>
      <w:tr>
        <w:trPr/>
        <w:tc>
          <w:tcPr>
            <w:tcW w:w="380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Common Shares</w:t>
            </w:r>
          </w:p>
        </w:tc>
        <w:tc>
          <w:tcPr>
            <w:tcW w:w="122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39,734,782</w:t>
            </w:r>
          </w:p>
        </w:tc>
        <w:tc>
          <w:tcPr>
            <w:tcW w:w="122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39,895,093</w:t>
            </w:r>
          </w:p>
        </w:tc>
        <w:tc>
          <w:tcPr>
            <w:tcW w:w="116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39,839,337</w:t>
            </w:r>
          </w:p>
        </w:tc>
        <w:tc>
          <w:tcPr>
            <w:tcW w:w="121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39,888,294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tbl>
      <w:tblPr>
        <w:tblW w:w="9568" w:type="dxa"/>
        <w:jc w:val="left"/>
        <w:tblInd w:w="0" w:type="dxa"/>
        <w:tblLayout w:type="fixed"/>
        <w:tblCellMar>
          <w:top w:w="28" w:type="dxa"/>
          <w:left w:w="28" w:type="dxa"/>
          <w:bottom w:w="28" w:type="dxa"/>
          <w:right w:w="28" w:type="dxa"/>
        </w:tblCellMar>
      </w:tblPr>
      <w:tblGrid>
        <w:gridCol w:w="1519"/>
        <w:gridCol w:w="1338"/>
        <w:gridCol w:w="1343"/>
        <w:gridCol w:w="109"/>
        <w:gridCol w:w="109"/>
        <w:gridCol w:w="10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47,637 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Gains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67,541 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66,840 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Statements of Shareholders’ Equity (Unaudited)</w:t>
      </w:r>
    </w:p>
    <w:tbl>
      <w:tblPr>
        <w:tblW w:w="14509" w:type="dxa"/>
        <w:jc w:val="left"/>
        <w:tblInd w:w="0" w:type="dxa"/>
        <w:tblLayout w:type="fixed"/>
        <w:tblCellMar>
          <w:top w:w="28" w:type="dxa"/>
          <w:left w:w="28" w:type="dxa"/>
          <w:bottom w:w="28" w:type="dxa"/>
          <w:right w:w="28" w:type="dxa"/>
        </w:tblCellMar>
      </w:tblPr>
      <w:tblGrid>
        <w:gridCol w:w="648"/>
        <w:gridCol w:w="201"/>
        <w:gridCol w:w="202"/>
        <w:gridCol w:w="109"/>
        <w:gridCol w:w="109"/>
        <w:gridCol w:w="109"/>
        <w:gridCol w:w="240"/>
        <w:gridCol w:w="240"/>
        <w:gridCol w:w="241"/>
        <w:gridCol w:w="109"/>
        <w:gridCol w:w="109"/>
        <w:gridCol w:w="109"/>
        <w:gridCol w:w="181"/>
        <w:gridCol w:w="646"/>
        <w:gridCol w:w="109"/>
        <w:gridCol w:w="109"/>
        <w:gridCol w:w="109"/>
        <w:gridCol w:w="109"/>
        <w:gridCol w:w="240"/>
        <w:gridCol w:w="240"/>
        <w:gridCol w:w="241"/>
        <w:gridCol w:w="109"/>
        <w:gridCol w:w="109"/>
        <w:gridCol w:w="109"/>
        <w:gridCol w:w="181"/>
        <w:gridCol w:w="646"/>
        <w:gridCol w:w="109"/>
        <w:gridCol w:w="109"/>
        <w:gridCol w:w="109"/>
        <w:gridCol w:w="109"/>
        <w:gridCol w:w="315"/>
        <w:gridCol w:w="240"/>
        <w:gridCol w:w="241"/>
        <w:gridCol w:w="109"/>
        <w:gridCol w:w="109"/>
        <w:gridCol w:w="109"/>
        <w:gridCol w:w="181"/>
        <w:gridCol w:w="37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327"/>
        <w:gridCol w:w="18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Shares Series A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Series A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Shares Series B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Series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Three Months Ended 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39,620,563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(247,217)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(1,145,933)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1,854,563 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($0.70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39,439,677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675,654 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(243,475)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2,260,152 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(1,162,454)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1,875,467 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Three Months Ended June 30, 2025</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39,734,304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(318,397)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2,144,326 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1,704,935 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47,637 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($0.70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39,765,375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655,479 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(299,194)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2,158,450 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(1,117,215)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1,743,107 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Statements of Shareholders’ Equity (continued) (Unaudited)</w:t>
      </w:r>
    </w:p>
    <w:tbl>
      <w:tblPr>
        <w:tblW w:w="14509" w:type="dxa"/>
        <w:jc w:val="center"/>
        <w:tblInd w:w="0" w:type="dxa"/>
        <w:tblLayout w:type="fixed"/>
        <w:tblCellMar>
          <w:top w:w="28" w:type="dxa"/>
          <w:left w:w="28" w:type="dxa"/>
          <w:bottom w:w="28" w:type="dxa"/>
          <w:right w:w="28" w:type="dxa"/>
        </w:tblCellMar>
      </w:tblPr>
      <w:tblGrid>
        <w:gridCol w:w="648"/>
        <w:gridCol w:w="201"/>
        <w:gridCol w:w="202"/>
        <w:gridCol w:w="109"/>
        <w:gridCol w:w="109"/>
        <w:gridCol w:w="109"/>
        <w:gridCol w:w="240"/>
        <w:gridCol w:w="240"/>
        <w:gridCol w:w="241"/>
        <w:gridCol w:w="109"/>
        <w:gridCol w:w="109"/>
        <w:gridCol w:w="109"/>
        <w:gridCol w:w="181"/>
        <w:gridCol w:w="646"/>
        <w:gridCol w:w="109"/>
        <w:gridCol w:w="109"/>
        <w:gridCol w:w="109"/>
        <w:gridCol w:w="109"/>
        <w:gridCol w:w="240"/>
        <w:gridCol w:w="240"/>
        <w:gridCol w:w="241"/>
        <w:gridCol w:w="109"/>
        <w:gridCol w:w="109"/>
        <w:gridCol w:w="109"/>
        <w:gridCol w:w="181"/>
        <w:gridCol w:w="646"/>
        <w:gridCol w:w="109"/>
        <w:gridCol w:w="109"/>
        <w:gridCol w:w="109"/>
        <w:gridCol w:w="109"/>
        <w:gridCol w:w="315"/>
        <w:gridCol w:w="240"/>
        <w:gridCol w:w="241"/>
        <w:gridCol w:w="109"/>
        <w:gridCol w:w="109"/>
        <w:gridCol w:w="109"/>
        <w:gridCol w:w="181"/>
        <w:gridCol w:w="37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327"/>
        <w:gridCol w:w="18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Shares Series A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Series A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Shares Series B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Series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Capital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Six Months Ended 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39,725,698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(244,438)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2,205,707 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(1,120,425)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1,851,212 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272,384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 Under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(410,091)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($1.40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39,439,677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675,654 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(243,475)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2,260,152 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(1,162,454)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1,875,467 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Six Months Ended June 30, 2025</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39,762,255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(343,389)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2,133,838 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(1,115,663)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($1.40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39,765,375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655,479 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(299,194)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2,158,450 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(1,117,215)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1,743,107 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Consolidated Statements of Cash Flows (Unaudited)</w:t>
      </w:r>
    </w:p>
    <w:tbl>
      <w:tblPr>
        <w:tblW w:w="8067" w:type="dxa"/>
        <w:jc w:val="center"/>
        <w:tblInd w:w="0" w:type="dxa"/>
        <w:tblLayout w:type="fixed"/>
        <w:tblCellMar>
          <w:top w:w="28" w:type="dxa"/>
          <w:left w:w="28" w:type="dxa"/>
          <w:bottom w:w="28" w:type="dxa"/>
          <w:right w:w="28" w:type="dxa"/>
        </w:tblCellMar>
      </w:tblPr>
      <w:tblGrid>
        <w:gridCol w:w="2154"/>
        <w:gridCol w:w="1889"/>
        <w:gridCol w:w="1897"/>
        <w:gridCol w:w="196"/>
        <w:gridCol w:w="736"/>
        <w:gridCol w:w="109"/>
        <w:gridCol w:w="196"/>
        <w:gridCol w:w="736"/>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Loan and Lease Fees,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and Accretion of Premiums/Discounts on Investment Securities,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Plan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Sales of Loans and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Loans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Other Assets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Available-for-Sale: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Prepayments and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Prepayments and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Loans and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Premises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Long-Term Other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Repurchased Under Share Repurchase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Plan Common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(453,848)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Noncash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Loans to Foreclosed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Loans to 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 Acquired through 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Bank of Hawaii Corporation (the “Parent”) is a Delaware corporation headquartered in Honolulu, Hawai‘i. In January 2026, the Parent elected to become a financial holding company under the Bank Holding Company Act of 1956, as amended; prior to that election, the Parent operated as a bank holding company.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year presentation. Operating results for the interim periods disclosed herein are not necessarily indicative of the results that may be expected for the full fiscal year or any future period.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2025. Significant changes to accounting policies from those disclosed in our audited Consolidated Financial Statements and related notes included in the Company’s Annual Report on Form 10-K are presented below.</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Pending Adoption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(DISE).” ASU 2024-03 requires additional disclosure of the nature of expenses included in the income statement to be presented in a tabular format in the footnotes to the financial statements. ASU 2024-03 is 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  Investment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the Company’s investment securities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1626"/>
        <w:gridCol w:w="1356"/>
        <w:gridCol w:w="1318"/>
        <w:gridCol w:w="213"/>
        <w:gridCol w:w="950"/>
        <w:gridCol w:w="118"/>
        <w:gridCol w:w="376"/>
        <w:gridCol w:w="1073"/>
        <w:gridCol w:w="212"/>
        <w:gridCol w:w="307"/>
        <w:gridCol w:w="1259"/>
        <w:gridCol w:w="171"/>
        <w:gridCol w:w="196"/>
        <w:gridCol w:w="871"/>
        <w:gridCol w:w="159"/>
      </w:tblGrid>
      <w:tr>
        <w:trPr/>
        <w:tc>
          <w:tcPr>
            <w:tcW w:w="162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States and Political Subdivisions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U.S. Government-Sponsored Enterprises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701,523 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344,891 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Non-Agency</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2,003,737 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(111,940)</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1,895,278 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850,723 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818,481 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850,723 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(34,597)</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818,481 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3,785,251 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(174,138)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3,618,515 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1,907,672 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(296,774)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1,610,898 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(78,584)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2,307,679 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(375,358)</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1,932,321 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1,628,589 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(231,852)</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1,396,890 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4,070,908 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(618,081)</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3,452,980 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25"/>
        <w:gridCol w:w="1355"/>
        <w:gridCol w:w="1317"/>
        <w:gridCol w:w="213"/>
        <w:gridCol w:w="949"/>
        <w:gridCol w:w="118"/>
        <w:gridCol w:w="342"/>
        <w:gridCol w:w="1131"/>
        <w:gridCol w:w="190"/>
        <w:gridCol w:w="307"/>
        <w:gridCol w:w="1258"/>
        <w:gridCol w:w="171"/>
        <w:gridCol w:w="196"/>
        <w:gridCol w:w="871"/>
        <w:gridCol w:w="162"/>
      </w:tblGrid>
      <w:tr>
        <w:trPr/>
        <w:tc>
          <w:tcPr>
            <w:tcW w:w="162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218,338 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States and Political Subdivisions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U.S. Government-Sponsored Enterprises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752,401 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735,643 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(80,292)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1,488,382 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329,836 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Non-Agency</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1,974,623 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(100,925)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1,878,863 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(28,720)</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3,656,776 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11,376 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(157,500)</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3,510,652 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1,995,813 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1,715,811 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2,402,769 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(358,058)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2,044,713 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1,698,215 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(224,352)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1,474,528 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1,708,198 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(226,016)</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1,482,847 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4,245,681 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(594,382)</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3,651,966 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elected to exclude accrued interest receivable (“AIR”) from the amortized cost basis of debt securities disclosed throughout this footnote. For available-for-sale (“AFS”) debt securities, AIR totaled $12.9 million and $12.3 million as of June 30, 2026 and December 31, 2025, respectively. For held-to-maturity (“HTM”) debt securities, AIR totaled $7.6 million and $7.9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contractual maturities of the Company’s investment securities as of June 30, 2026. Debt securities consisting of securitized loan pools (such as Small Business Administration securities), collateralized mortgage obligations, and mortgage-backed securities are disclosed separately, as these investment securities may prepay prior to their scheduled contractual maturity 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6889" w:type="dxa"/>
        <w:jc w:val="left"/>
        <w:tblInd w:w="0" w:type="dxa"/>
        <w:tblLayout w:type="fixed"/>
        <w:tblCellMar>
          <w:top w:w="28" w:type="dxa"/>
          <w:left w:w="28" w:type="dxa"/>
          <w:bottom w:w="28" w:type="dxa"/>
          <w:right w:w="28" w:type="dxa"/>
        </w:tblCellMar>
      </w:tblPr>
      <w:tblGrid>
        <w:gridCol w:w="1606"/>
        <w:gridCol w:w="1407"/>
        <w:gridCol w:w="1411"/>
        <w:gridCol w:w="207"/>
        <w:gridCol w:w="922"/>
        <w:gridCol w:w="115"/>
        <w:gridCol w:w="196"/>
        <w:gridCol w:w="87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740,240 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843,063 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817,196 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Government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1,576,814 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Non-Agency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2,003,737 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1,895,278 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850,723 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850,723 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818,481 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3,785,251 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3,618,515 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 Through Ten Years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1,907,672 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2,307,679 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1,932,321 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1,628,589 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1,396,890 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4,070,908 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3,452,980 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investment securities with carrying values of $7.6 billion were pledged to secure deposits of governmental entities, securities sold under agreements to repurchase, support the Company's borrowing capacity with the Federal Reserve Bank, and secure derivative transactions.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net realized losses on sales of investments of $1.3 million and $1.1 million, respectively. During the six months ended June 30, 2026 and 2025, the Company recognized net realized losses on sales of investments of $2.6 million and $2.7 million, respectively. The losses on sales of investment securities were due to fees paid to the counterparties of the Company’s prior Visa Class B share sale transactions, which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AFS debt securities in an unrealized loss position for which an allowance for credit losses was not deemed necessary, aggregated by major security type and length of time in a continuous unrealized loss position:</w:t>
      </w:r>
    </w:p>
    <w:tbl>
      <w:tblPr>
        <w:tblW w:w="10205" w:type="dxa"/>
        <w:jc w:val="left"/>
        <w:tblInd w:w="0" w:type="dxa"/>
        <w:tblLayout w:type="fixed"/>
        <w:tblCellMar>
          <w:top w:w="28" w:type="dxa"/>
          <w:left w:w="28" w:type="dxa"/>
          <w:bottom w:w="28" w:type="dxa"/>
          <w:right w:w="28" w:type="dxa"/>
        </w:tblCellMar>
      </w:tblPr>
      <w:tblGrid>
        <w:gridCol w:w="1196"/>
        <w:gridCol w:w="850"/>
        <w:gridCol w:w="741"/>
        <w:gridCol w:w="196"/>
        <w:gridCol w:w="871"/>
        <w:gridCol w:w="109"/>
        <w:gridCol w:w="244"/>
        <w:gridCol w:w="859"/>
        <w:gridCol w:w="136"/>
        <w:gridCol w:w="196"/>
        <w:gridCol w:w="871"/>
        <w:gridCol w:w="109"/>
        <w:gridCol w:w="235"/>
        <w:gridCol w:w="934"/>
        <w:gridCol w:w="131"/>
        <w:gridCol w:w="196"/>
        <w:gridCol w:w="871"/>
        <w:gridCol w:w="109"/>
        <w:gridCol w:w="234"/>
        <w:gridCol w:w="928"/>
        <w:gridCol w:w="189"/>
      </w:tblGrid>
      <w:tr>
        <w:trPr/>
        <w:tc>
          <w:tcPr>
            <w:tcW w:w="11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247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Longer</w:t>
            </w:r>
          </w:p>
        </w:tc>
        <w:tc>
          <w:tcPr>
            <w:tcW w:w="25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2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June 30,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Available-for-Sale: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the U.S. Treasury and Government Agencies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(3,036)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States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U.S. Government- 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Corporations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Mortgage Obligations: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(83,727)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(89,996)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Government Agencies or 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(21,837)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Collateralized Mortgage Obligations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656,244 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(6,564)</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747,988 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(105,376)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1,404,232 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(111,940)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Mortgage-Backed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(29,429)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(34,597)</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Mortgage-Backed Securities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363,679 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(5,168)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242,583 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(29,429)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606,262 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(34,597)</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1,095,777 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(11,930)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1,589,553 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(162,208)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2,685,330 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(174,138)</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December 31, 2025</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Available-for-Sale: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the U.S. Treasury and Government Agencies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States and Political Subdivisions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U.S. Government-Sponsored Enterprises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Corporations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(18,705)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Mortgage Obligations: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(80,239)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(80,292)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Government Agencies or Sponsored Enterprises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(20,483)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(20,522)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Non-Agency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Collateralized Mortgage Obligations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764,608 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(100,722)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(100,925)</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Mortgage-Backed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Mortgage-Backed Securities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(28,600)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250,396 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(621)</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1,782,541 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(156,879)</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2,032,937 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(157,500)</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believe the AFS debt securities that were in an unrealized loss position contain a credit loss impairment. As of June 30, 2026 and December 31, 2025, the unrealized losses from AFS debt securities were generated from 362 out of 463 securities and 319 out of 459 securities, respectively. As of June 30, 2026 and December 31, 2025, total gross unrealized losses were attributed to changes in interest rates and pricing spreads, relative to when the investment securities were purchased, and not due to the credit quality of the investment securities. Mortgage-backed securities issued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 government agencies or U.S. government-sponsored enterprises (“GSEs”) carry the explicit and/or implicit guarantee of the U.S. government and have a long history of zero credit loss. Debt securities issued by corporations and municipalities, as well as non-agency commercial mortgage-backed securities, are of high credit quality, and the issuers continue to make timely principal and interest payments. As of June 30, 2026, the Company did not have any plans to sell the investment securities that were in an unrealized loss position and it is more likely than not that the Company will not be required to sell the investment securities before recovery of their amortized cost basis, which may be at maturity.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the Company’s HTM debt securities are backed by the U.S. government agencies or GSEs; therefore, no allowance for credit losses is required for these securities as of June 30, 2026 and December 31,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from taxable and non-taxable investment securities for the three and six months ended June 30, 2026 and 2025 were as follows:</w:t>
      </w:r>
    </w:p>
    <w:tbl>
      <w:tblPr>
        <w:tblW w:w="8271" w:type="dxa"/>
        <w:jc w:val="left"/>
        <w:tblInd w:w="0" w:type="dxa"/>
        <w:tblLayout w:type="fixed"/>
        <w:tblCellMar>
          <w:top w:w="28" w:type="dxa"/>
          <w:left w:w="28" w:type="dxa"/>
          <w:bottom w:w="28" w:type="dxa"/>
          <w:right w:w="28" w:type="dxa"/>
        </w:tblCellMar>
      </w:tblPr>
      <w:tblGrid>
        <w:gridCol w:w="1294"/>
        <w:gridCol w:w="1135"/>
        <w:gridCol w:w="1140"/>
        <w:gridCol w:w="233"/>
        <w:gridCol w:w="769"/>
        <w:gridCol w:w="129"/>
        <w:gridCol w:w="233"/>
        <w:gridCol w:w="769"/>
        <w:gridCol w:w="129"/>
        <w:gridCol w:w="109"/>
        <w:gridCol w:w="109"/>
        <w:gridCol w:w="109"/>
        <w:gridCol w:w="203"/>
        <w:gridCol w:w="764"/>
        <w:gridCol w:w="113"/>
        <w:gridCol w:w="203"/>
        <w:gridCol w:w="671"/>
        <w:gridCol w:w="159"/>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53,997 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46,385 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106,653 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 from Investment Securities</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54,453 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107,569 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91,501 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  Loans and Leases and the Allowance for Credit Losses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Loans and Leases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loan and lease portfolio was comprised of the following as of June 30, 2026 and December 31, 2025:</w:t>
      </w:r>
    </w:p>
    <w:tbl>
      <w:tblPr>
        <w:tblW w:w="4805" w:type="dxa"/>
        <w:jc w:val="left"/>
        <w:tblInd w:w="0" w:type="dxa"/>
        <w:tblLayout w:type="fixed"/>
        <w:tblCellMar>
          <w:top w:w="28" w:type="dxa"/>
          <w:left w:w="28" w:type="dxa"/>
          <w:bottom w:w="28" w:type="dxa"/>
          <w:right w:w="28" w:type="dxa"/>
        </w:tblCellMar>
      </w:tblPr>
      <w:tblGrid>
        <w:gridCol w:w="723"/>
        <w:gridCol w:w="634"/>
        <w:gridCol w:w="637"/>
        <w:gridCol w:w="196"/>
        <w:gridCol w:w="961"/>
        <w:gridCol w:w="109"/>
        <w:gridCol w:w="231"/>
        <w:gridCol w:w="1133"/>
        <w:gridCol w:w="181"/>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8,041,027 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14,286,625 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lending activity is with customers located within the State of Hawai‘i. A substantial portion of the Company’s real estate loans are secured by real estate located within the State of Hawai‘i.</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elected to exclude AIR from the amortized cost basis of loans and leases disclosed throughout this footnote. As of June 30, 2026 and December 31, 2025, AIR for loans and leases totaled $50.0 million and $49.2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(the “Allowance”)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presents by portfolio segment, the activity in the Allowance for the three and six months ended June 30, 2026 and 2025.</w:t>
      </w:r>
    </w:p>
    <w:tbl>
      <w:tblPr>
        <w:tblW w:w="7272" w:type="dxa"/>
        <w:jc w:val="left"/>
        <w:tblInd w:w="0" w:type="dxa"/>
        <w:tblLayout w:type="fixed"/>
        <w:tblCellMar>
          <w:top w:w="28" w:type="dxa"/>
          <w:left w:w="28" w:type="dxa"/>
          <w:bottom w:w="28" w:type="dxa"/>
          <w:right w:w="28" w:type="dxa"/>
        </w:tblCellMar>
      </w:tblPr>
      <w:tblGrid>
        <w:gridCol w:w="1519"/>
        <w:gridCol w:w="1337"/>
        <w:gridCol w:w="1343"/>
        <w:gridCol w:w="213"/>
        <w:gridCol w:w="703"/>
        <w:gridCol w:w="120"/>
        <w:gridCol w:w="196"/>
        <w:gridCol w:w="646"/>
        <w:gridCol w:w="109"/>
        <w:gridCol w:w="196"/>
        <w:gridCol w:w="73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Consumer</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80,511 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78,902 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80,511 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78,902 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are the definitions of the Company’s credit quality indicators:</w:t>
      </w:r>
    </w:p>
    <w:tbl>
      <w:tblPr>
        <w:tblW w:w="10205" w:type="dxa"/>
        <w:jc w:val="center"/>
        <w:tblInd w:w="0" w:type="dxa"/>
        <w:tblLayout w:type="fixed"/>
        <w:tblCellMar>
          <w:top w:w="28" w:type="dxa"/>
          <w:left w:w="28" w:type="dxa"/>
          <w:bottom w:w="28" w:type="dxa"/>
          <w:right w:w="28" w:type="dxa"/>
        </w:tblCellMar>
      </w:tblPr>
      <w:tblGrid>
        <w:gridCol w:w="422"/>
        <w:gridCol w:w="292"/>
        <w:gridCol w:w="297"/>
        <w:gridCol w:w="2738"/>
        <w:gridCol w:w="2673"/>
        <w:gridCol w:w="3783"/>
      </w:tblGrid>
      <w:tr>
        <w:trPr/>
        <w:tc>
          <w:tcPr>
            <w:tcW w:w="4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leases in all classes within the commercial and consumer portfolio segments that are not adversely rated, are generally contractually current as to principal and interest, and are otherwise in compliance with the contractual terms of the loan or lease agreement. Residential mortgage loans that are past due 90 days or more as to principal or interest may be considered Pass if the current loan-to-value ratio is 60% or less. Home equity loans that are past due 90 days or more as to principal or interest may be considered Pass if: a) the home equity loan is in first lien position and the current loan-to-value ratio is 60% or less; or b) the first mortgage is with the Company and the current combined loan-to-value ratio is 60% or less.</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leases in the classes within the commercial portfolio segment that have potential weaknesses that warrant management’s close attention. If not addressed, these potential weaknesses may result in deterioration of the repayment prospects for the loan or lease. The Special Mention credit quality indicator is not used for the consumer portfolio segment.</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leases in the classes within the commercial portfolio segment that have a well-defined weakness or weaknesses and are inadequately protected by the sound worth and paying capacity of the borrower or applicable collateral, if any. Classified loans and leases are also those in the classes within the consumer portfolio segment that are past due 90 days or more as to principal or interest (excluding residential mortgage and home equity loans which meet the criteria for being considered Pass).</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Pass rated credits in the commercial portfolio, most risk ratings are certified at a minimum annually. For Special Mention or Classified credits in the commercial portfolio, risk ratings are reviewed for appropriateness on an ongoing basis. </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presents by credit quality indicator, loan class, and year of origination, the amortized cost basis of the Company’s loans and leases as of June 30, 2026.</w:t>
      </w:r>
    </w:p>
    <w:tbl>
      <w:tblPr>
        <w:tblW w:w="10205" w:type="dxa"/>
        <w:jc w:val="left"/>
        <w:tblInd w:w="0" w:type="dxa"/>
        <w:tblLayout w:type="fixed"/>
        <w:tblCellMar>
          <w:top w:w="28" w:type="dxa"/>
          <w:left w:w="28" w:type="dxa"/>
          <w:bottom w:w="28" w:type="dxa"/>
          <w:right w:w="28" w:type="dxa"/>
        </w:tblCellMar>
      </w:tblPr>
      <w:tblGrid>
        <w:gridCol w:w="468"/>
        <w:gridCol w:w="283"/>
        <w:gridCol w:w="285"/>
        <w:gridCol w:w="181"/>
        <w:gridCol w:w="616"/>
        <w:gridCol w:w="109"/>
        <w:gridCol w:w="181"/>
        <w:gridCol w:w="721"/>
        <w:gridCol w:w="109"/>
        <w:gridCol w:w="181"/>
        <w:gridCol w:w="721"/>
        <w:gridCol w:w="109"/>
        <w:gridCol w:w="181"/>
        <w:gridCol w:w="616"/>
        <w:gridCol w:w="109"/>
        <w:gridCol w:w="181"/>
        <w:gridCol w:w="721"/>
        <w:gridCol w:w="109"/>
        <w:gridCol w:w="181"/>
        <w:gridCol w:w="721"/>
        <w:gridCol w:w="109"/>
        <w:gridCol w:w="183"/>
        <w:gridCol w:w="730"/>
        <w:gridCol w:w="110"/>
        <w:gridCol w:w="220"/>
        <w:gridCol w:w="752"/>
        <w:gridCol w:w="133"/>
        <w:gridCol w:w="189"/>
        <w:gridCol w:w="831"/>
        <w:gridCol w:w="165"/>
      </w:tblGrid>
      <w:tr>
        <w:trPr/>
        <w:tc>
          <w:tcPr>
            <w:tcW w:w="4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Term Loans by Origination Year</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(dollars in thousands)</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2026</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2024</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2023</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2022</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Prior</w:t>
            </w:r>
          </w:p>
        </w:tc>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w:t>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 Converted to Term Loans</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 Loans and Leases</w:t>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June 30, 2026</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Commercial</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Mortgage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1,943,769 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38,041 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3,958,943 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196,875 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163,403 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Mortgage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280,380 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491,041 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265,997 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276,278 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868,770 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2,098,714 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38,041 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4,319,221 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and Industrial</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397,612 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1,648,585 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26,980 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and Industrial</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108,975 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110,235 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227,749 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197,762 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489,749 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404,466 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1,676,535 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615 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Construction</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159,645 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Construction</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164,504 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Lease Financing</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85,013 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Lease Financing</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85,338 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Commercial</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404,483 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646,502 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611,714 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431,085 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1,095,368 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2,607,311 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448,748 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6,245,598 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Gross Charge-Offs</w:t>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615 </w:t>
            </w:r>
          </w:p>
        </w:tc>
        <w:tc>
          <w:tcPr>
            <w:tcW w:w="16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Consumer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Residential Mortgage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2,953,775 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4,861,175 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Residential Mortgage</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508,961 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198,260 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674,812 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2,956,337 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4,864,875 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Home Equity</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1,959,603 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116,260 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2,075,898 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Home Equity</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1,961,865 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117,227 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2,079,127 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Automobile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674,136 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Automobile</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120,783 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179,724 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101,815 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674,899 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421,161 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83,959 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422,126 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4,794 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Consumer</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518,584 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820,636 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411,844 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815,377 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3,043,584 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1,962,444 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117,227 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8,041,027 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Consumer Gross Charge-Offs</w:t>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8,186 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Loans and Leases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923,067 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1,467,138 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1,023,558 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782,416 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1,910,745 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5,650,895 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2,411,192 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117,614 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14,286,625 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Gross Charge-Offs</w:t>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8,801 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$27.4 million of revolving loans were converted to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presents by credit quality indicator, loan class, and year of origination, the amortized cost basis of the Company’s loans and leases as of December 31, 2025.</w:t>
      </w:r>
    </w:p>
    <w:tbl>
      <w:tblPr>
        <w:tblW w:w="10205" w:type="dxa"/>
        <w:jc w:val="left"/>
        <w:tblInd w:w="0" w:type="dxa"/>
        <w:tblLayout w:type="fixed"/>
        <w:tblCellMar>
          <w:top w:w="28" w:type="dxa"/>
          <w:left w:w="28" w:type="dxa"/>
          <w:bottom w:w="28" w:type="dxa"/>
          <w:right w:w="28" w:type="dxa"/>
        </w:tblCellMar>
      </w:tblPr>
      <w:tblGrid>
        <w:gridCol w:w="464"/>
        <w:gridCol w:w="278"/>
        <w:gridCol w:w="280"/>
        <w:gridCol w:w="181"/>
        <w:gridCol w:w="721"/>
        <w:gridCol w:w="109"/>
        <w:gridCol w:w="181"/>
        <w:gridCol w:w="721"/>
        <w:gridCol w:w="109"/>
        <w:gridCol w:w="181"/>
        <w:gridCol w:w="616"/>
        <w:gridCol w:w="109"/>
        <w:gridCol w:w="181"/>
        <w:gridCol w:w="721"/>
        <w:gridCol w:w="109"/>
        <w:gridCol w:w="181"/>
        <w:gridCol w:w="721"/>
        <w:gridCol w:w="109"/>
        <w:gridCol w:w="181"/>
        <w:gridCol w:w="721"/>
        <w:gridCol w:w="109"/>
        <w:gridCol w:w="183"/>
        <w:gridCol w:w="729"/>
        <w:gridCol w:w="110"/>
        <w:gridCol w:w="222"/>
        <w:gridCol w:w="664"/>
        <w:gridCol w:w="133"/>
        <w:gridCol w:w="188"/>
        <w:gridCol w:w="828"/>
        <w:gridCol w:w="165"/>
      </w:tblGrid>
      <w:tr>
        <w:trPr/>
        <w:tc>
          <w:tcPr>
            <w:tcW w:w="4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Term Loans by Origination Year</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(dollars 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2024</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2023</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2022</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2021</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Prior</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 Converted to Term Loans</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 Loans and Leases</w:t>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December 31, 2025</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Commercial</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Mortgage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803,126 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1,711,535 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3,970,412 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195,379 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Mortgage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467,837 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248,335 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308,608 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928,262 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449,167 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1,765,483 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38,099 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4,205,791 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and Industrial</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299,212 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1,532,270 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23,370 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9,694 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28,605 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and Industrial</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242,375 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207,997 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157,740 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366,278 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331,929 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1,584,245 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3,107 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Construction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205,732 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Construction</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8,703 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208,584 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Lease Financing</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87,860 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Lease Financing</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88,303 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Commercial</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637,394 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470,068 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1,189,455 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625,859 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2,171,613 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378,731 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6,086,923 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Gross Charge-Offs</w:t>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3,107 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Consumer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Residential Mortgage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1,120,135 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4,771,951 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Residential Mortgage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233,534 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1,120,135 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1,963,635 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4,775,502 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Home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2,022,071 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89,720 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2,111,828 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Home Equity</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2,024,867 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89,905 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2,114,809 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Automobile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689,856 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Automobile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155,920 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690,376 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6,026 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413,659 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154,635 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414,440 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9,465 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Consumer</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886,367 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480,802 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411,090 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890,260 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1,196,838 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2,013,815 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2,026,050 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89,905 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7,995,127 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Consumer Gross Charge-Offs</w:t>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1,751 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15,914 </w:t>
            </w:r>
          </w:p>
        </w:tc>
        <w:tc>
          <w:tcPr>
            <w:tcW w:w="16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Loans and Leases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1,523,761 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1,094,118 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881,158 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2,079,715 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1,822,697 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4,185,428 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2,404,781 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90,392 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14,082,050 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Gross Charge-Offs</w:t>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3,441 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19,021 </w:t>
            </w:r>
          </w:p>
        </w:tc>
        <w:tc>
          <w:tcPr>
            <w:tcW w:w="16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$31.9 million of revolving loans were converted to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Aging Analysis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Loans and leases are considered to be past due once becoming 30 days delinquent. The following presents by class, an aging analysis of the Company’s loan and lease portfolio as of June 30, 2026 and December 31, 2025.</w:t>
      </w:r>
    </w:p>
    <w:tbl>
      <w:tblPr>
        <w:tblW w:w="12160" w:type="dxa"/>
        <w:jc w:val="left"/>
        <w:tblInd w:w="0" w:type="dxa"/>
        <w:tblLayout w:type="fixed"/>
        <w:tblCellMar>
          <w:top w:w="28" w:type="dxa"/>
          <w:left w:w="28" w:type="dxa"/>
          <w:bottom w:w="28" w:type="dxa"/>
          <w:right w:w="28" w:type="dxa"/>
        </w:tblCellMar>
      </w:tblPr>
      <w:tblGrid>
        <w:gridCol w:w="489"/>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3"/>
        <w:gridCol w:w="703"/>
        <w:gridCol w:w="120"/>
        <w:gridCol w:w="109"/>
        <w:gridCol w:w="109"/>
        <w:gridCol w:w="109"/>
        <w:gridCol w:w="213"/>
        <w:gridCol w:w="703"/>
        <w:gridCol w:w="120"/>
        <w:gridCol w:w="109"/>
        <w:gridCol w:w="109"/>
        <w:gridCol w:w="109"/>
        <w:gridCol w:w="196"/>
        <w:gridCol w:w="961"/>
        <w:gridCol w:w="109"/>
        <w:gridCol w:w="109"/>
        <w:gridCol w:w="109"/>
        <w:gridCol w:w="109"/>
        <w:gridCol w:w="196"/>
        <w:gridCol w:w="961"/>
        <w:gridCol w:w="109"/>
        <w:gridCol w:w="109"/>
        <w:gridCol w:w="109"/>
        <w:gridCol w:w="109"/>
        <w:gridCol w:w="233"/>
        <w:gridCol w:w="663"/>
        <w:gridCol w:w="185"/>
      </w:tblGrid>
      <w:tr>
        <w:trPr/>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30 - 59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60 - 89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Past Due 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and Leases that are Current</w:t>
            </w:r>
          </w:p>
        </w:tc>
      </w:tr>
      <w:tr>
        <w:trPr/>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6,242,978 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6,245,598 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67,569 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7,973,458 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8,041,027 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70,189 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14,216,436 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14,286,625 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6,082,692 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6,086,923 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59,831 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7,935,296 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7,995,127 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64,062 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14,017,988 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4,540 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Non-Accrual Loans and Leases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non-accrual loans and leases as of June 30, 2026 and December 31, 2025.</w:t>
      </w:r>
    </w:p>
    <w:tbl>
      <w:tblPr>
        <w:tblW w:w="10205" w:type="dxa"/>
        <w:jc w:val="left"/>
        <w:tblInd w:w="0" w:type="dxa"/>
        <w:tblLayout w:type="fixed"/>
        <w:tblCellMar>
          <w:top w:w="28" w:type="dxa"/>
          <w:left w:w="28" w:type="dxa"/>
          <w:bottom w:w="28" w:type="dxa"/>
          <w:right w:w="28" w:type="dxa"/>
        </w:tblCellMar>
      </w:tblPr>
      <w:tblGrid>
        <w:gridCol w:w="507"/>
        <w:gridCol w:w="345"/>
        <w:gridCol w:w="346"/>
        <w:gridCol w:w="309"/>
        <w:gridCol w:w="1020"/>
        <w:gridCol w:w="174"/>
        <w:gridCol w:w="353"/>
        <w:gridCol w:w="1007"/>
        <w:gridCol w:w="198"/>
        <w:gridCol w:w="257"/>
        <w:gridCol w:w="850"/>
        <w:gridCol w:w="144"/>
        <w:gridCol w:w="109"/>
        <w:gridCol w:w="109"/>
        <w:gridCol w:w="109"/>
        <w:gridCol w:w="309"/>
        <w:gridCol w:w="1020"/>
        <w:gridCol w:w="174"/>
        <w:gridCol w:w="353"/>
        <w:gridCol w:w="1007"/>
        <w:gridCol w:w="198"/>
        <w:gridCol w:w="254"/>
        <w:gridCol w:w="842"/>
        <w:gridCol w:w="211"/>
      </w:tblGrid>
      <w:tr>
        <w:trPr/>
        <w:tc>
          <w:tcPr>
            <w:tcW w:w="50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 a Related ACL</w:t>
            </w:r>
          </w:p>
        </w:tc>
        <w:tc>
          <w:tcPr>
            <w:tcW w:w="15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without a Related ACL</w:t>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 a Related ACL</w:t>
            </w:r>
          </w:p>
        </w:tc>
        <w:tc>
          <w:tcPr>
            <w:tcW w:w="15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without a Related ACL</w:t>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Non-Accrual Loans</w:t>
            </w:r>
          </w:p>
        </w:tc>
      </w:tr>
      <w:tr>
        <w:trPr/>
        <w:tc>
          <w:tcPr>
            <w:tcW w:w="11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2,782 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9,415 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10,270 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11,307 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10,658 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Payments received while on non-accrual status are normally applied against the principal balance of the loan or lease. Payments may be recognized as income if the full collection of principal and interest is reasonably assured.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Loan Modifications to Borrowers Experiencing Financial Difficulty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tbl>
      <w:tblPr>
        <w:tblW w:w="10205" w:type="dxa"/>
        <w:jc w:val="left"/>
        <w:tblInd w:w="0" w:type="dxa"/>
        <w:tblLayout w:type="fixed"/>
        <w:tblCellMar>
          <w:top w:w="28" w:type="dxa"/>
          <w:left w:w="28" w:type="dxa"/>
          <w:bottom w:w="28" w:type="dxa"/>
          <w:right w:w="28" w:type="dxa"/>
        </w:tblCellMar>
      </w:tblPr>
      <w:tblGrid>
        <w:gridCol w:w="541"/>
        <w:gridCol w:w="447"/>
        <w:gridCol w:w="361"/>
        <w:gridCol w:w="2593"/>
        <w:gridCol w:w="2593"/>
        <w:gridCol w:w="3670"/>
      </w:tblGrid>
      <w:tr>
        <w:trPr/>
        <w:tc>
          <w:tcPr>
            <w:tcW w:w="5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Loan Classes</w:t>
            </w:r>
          </w:p>
        </w:tc>
        <w:tc>
          <w:tcPr>
            <w:tcW w:w="8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Modification Types</w:t>
            </w:r>
          </w:p>
        </w:tc>
      </w:tr>
      <w:tr>
        <w:trPr/>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8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Term extension, interest rate reduction, other-than-insignificant payment delay, or combination thereof. These modifications extend the term of the loan, lower the payment amount, or result in an other-than-insignificant payment delay during a defined period for the purpose of providing borrowers additional time to return to compliance with the original loan term.</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 Mortgage/</w:t>
              <w:br/>
              <w:t>Home Equity:</w:t>
            </w:r>
          </w:p>
        </w:tc>
        <w:tc>
          <w:tcPr>
            <w:tcW w:w="8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Forbearance period greater than six months. These modifications require reduced or no payments during the forbearance period for the purpose of providing borrowers additional time to return to compliance with the original loan term.</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 Mortgage/</w:t>
              <w:br/>
              <w:t>Home Equity:</w:t>
            </w:r>
          </w:p>
        </w:tc>
        <w:tc>
          <w:tcPr>
            <w:tcW w:w="8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Term extension and rate adjustment. These modifications extend the term of the loan and provide for an adjustment to the interest rate, which reduces the monthly payment requirement.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Automobile/</w:t>
              <w:br/>
              <w:t>Direct Installment:</w:t>
            </w:r>
          </w:p>
        </w:tc>
        <w:tc>
          <w:tcPr>
            <w:tcW w:w="8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Term extension greater than three months. These modifications extend the term of the loan, which reduces the monthly payment requirement.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Automobile/</w:t>
              <w:br/>
              <w:t>Direct Installment:</w:t>
            </w:r>
          </w:p>
        </w:tc>
        <w:tc>
          <w:tcPr>
            <w:tcW w:w="8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Forbearance period and term extension greater than three months. These modifications require reduced or no payments during the forbearance period and extends the term of the loan, which reduces the monthly payment requirement.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loan modifications made to borrowers experiencing financial difficulty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643"/>
        <w:gridCol w:w="416"/>
        <w:gridCol w:w="420"/>
        <w:gridCol w:w="215"/>
        <w:gridCol w:w="610"/>
        <w:gridCol w:w="119"/>
        <w:gridCol w:w="109"/>
        <w:gridCol w:w="307"/>
        <w:gridCol w:w="873"/>
        <w:gridCol w:w="171"/>
        <w:gridCol w:w="387"/>
        <w:gridCol w:w="834"/>
        <w:gridCol w:w="217"/>
        <w:gridCol w:w="381"/>
        <w:gridCol w:w="1083"/>
        <w:gridCol w:w="212"/>
        <w:gridCol w:w="212"/>
        <w:gridCol w:w="604"/>
        <w:gridCol w:w="118"/>
        <w:gridCol w:w="196"/>
        <w:gridCol w:w="646"/>
        <w:gridCol w:w="109"/>
        <w:gridCol w:w="378"/>
        <w:gridCol w:w="256"/>
        <w:gridCol w:w="689"/>
      </w:tblGrid>
      <w:tr>
        <w:trPr/>
        <w:tc>
          <w:tcPr>
            <w:tcW w:w="6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thousands)</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Payment Delay and Term Extension</w:t>
            </w:r>
            <w:r>
              <w:rPr>
                <w:rFonts w:ascii="Times New Roman;serif" w:hAnsi="Times New Roman;serif"/>
                <w:b/>
                <w:color w:val="000000"/>
                <w:sz w:val="10"/>
              </w:rPr>
              <w:t>1</w:t>
            </w:r>
          </w:p>
        </w:tc>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Term Extension and Interest Rate Reduction</w:t>
            </w:r>
          </w:p>
        </w:tc>
        <w:tc>
          <w:tcPr>
            <w:tcW w:w="1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Rate Reduction, Payment Delay, and Term Extension</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Payment Delay</w:t>
            </w:r>
            <w:r>
              <w:rPr>
                <w:rFonts w:ascii="Times New Roman;serif" w:hAnsi="Times New Roman;serif"/>
                <w:b/>
                <w:color w:val="000000"/>
                <w:sz w:val="10"/>
              </w:rPr>
              <w:t>1</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of Total Class of Loans and Leases</w:t>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Mortgage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0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0.26</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8,680 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2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effect of loan modifications made to borrowers experiencing financial difficulty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52"/>
        <w:gridCol w:w="701"/>
        <w:gridCol w:w="704"/>
        <w:gridCol w:w="933"/>
        <w:gridCol w:w="933"/>
        <w:gridCol w:w="935"/>
        <w:gridCol w:w="668"/>
        <w:gridCol w:w="1384"/>
        <w:gridCol w:w="374"/>
        <w:gridCol w:w="569"/>
        <w:gridCol w:w="569"/>
        <w:gridCol w:w="1583"/>
      </w:tblGrid>
      <w:tr>
        <w:trPr/>
        <w:tc>
          <w:tcPr>
            <w:tcW w:w="85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Months of Term Extension</w:t>
            </w:r>
          </w:p>
        </w:tc>
        <w:tc>
          <w:tcPr>
            <w:tcW w:w="24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Weighted-Average Payment Deferral</w:t>
            </w:r>
            <w:r>
              <w:rPr>
                <w:rFonts w:ascii="Times New Roman;serif" w:hAnsi="Times New Roman;serif"/>
                <w:b/>
                <w:color w:val="000000"/>
                <w:sz w:val="10"/>
              </w:rPr>
              <w:t>1</w:t>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 Reduction</w:t>
            </w:r>
          </w:p>
        </w:tc>
      </w:tr>
      <w:tr>
        <w:trPr/>
        <w:tc>
          <w:tcPr>
            <w:tcW w:w="2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272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272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272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2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272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8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loan modifications made to borrowers experiencing financial difficulty that defaulted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60"/>
        <w:gridCol w:w="824"/>
        <w:gridCol w:w="828"/>
        <w:gridCol w:w="318"/>
        <w:gridCol w:w="688"/>
        <w:gridCol w:w="179"/>
        <w:gridCol w:w="694"/>
        <w:gridCol w:w="1440"/>
        <w:gridCol w:w="388"/>
        <w:gridCol w:w="823"/>
        <w:gridCol w:w="1713"/>
        <w:gridCol w:w="463"/>
        <w:gridCol w:w="109"/>
        <w:gridCol w:w="196"/>
        <w:gridCol w:w="421"/>
        <w:gridCol w:w="161"/>
      </w:tblGrid>
      <w:tr>
        <w:trPr/>
        <w:tc>
          <w:tcPr>
            <w:tcW w:w="9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252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Payment Delay and Term Extension</w:t>
            </w:r>
            <w:r>
              <w:rPr>
                <w:rFonts w:ascii="Times New Roman;serif" w:hAnsi="Times New Roman;serif"/>
                <w:b/>
                <w:color w:val="000000"/>
                <w:sz w:val="10"/>
              </w:rPr>
              <w:t>1</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Extension and Interest Rate Reduction</w:t>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Residential Mortgage</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analysis of loans that have been modified in the last 12 months made to borrowers experiencing financial difficulty as of June 30, 2026 and 2025.</w:t>
      </w:r>
    </w:p>
    <w:tbl>
      <w:tblPr>
        <w:tblW w:w="10205" w:type="dxa"/>
        <w:jc w:val="left"/>
        <w:tblInd w:w="0" w:type="dxa"/>
        <w:tblLayout w:type="fixed"/>
        <w:tblCellMar>
          <w:top w:w="28" w:type="dxa"/>
          <w:left w:w="28" w:type="dxa"/>
          <w:bottom w:w="28" w:type="dxa"/>
          <w:right w:w="28" w:type="dxa"/>
        </w:tblCellMar>
      </w:tblPr>
      <w:tblGrid>
        <w:gridCol w:w="711"/>
        <w:gridCol w:w="613"/>
        <w:gridCol w:w="616"/>
        <w:gridCol w:w="196"/>
        <w:gridCol w:w="646"/>
        <w:gridCol w:w="109"/>
        <w:gridCol w:w="378"/>
        <w:gridCol w:w="1074"/>
        <w:gridCol w:w="210"/>
        <w:gridCol w:w="446"/>
        <w:gridCol w:w="960"/>
        <w:gridCol w:w="248"/>
        <w:gridCol w:w="446"/>
        <w:gridCol w:w="1267"/>
        <w:gridCol w:w="248"/>
        <w:gridCol w:w="235"/>
        <w:gridCol w:w="669"/>
        <w:gridCol w:w="132"/>
        <w:gridCol w:w="196"/>
        <w:gridCol w:w="646"/>
        <w:gridCol w:w="159"/>
      </w:tblGrid>
      <w:tr>
        <w:trPr/>
        <w:tc>
          <w:tcPr>
            <w:tcW w:w="7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30 - 59 Days Past Due</w:t>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60 - 89 Days Past Due</w:t>
            </w:r>
          </w:p>
        </w:tc>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Past Due 90 Days or More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21,204 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25,713 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 2025</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1,903 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18,772 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Foreclosure Proceedings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Consumer mortgage loans collateralized by residential real estate property (residential mortgage and home equity) that are in the process of foreclosure totaled $11.4 million and $8.5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  Mortgage Servicing Rights</w:t>
      </w:r>
    </w:p>
    <w:p>
      <w:pPr>
        <w:pStyle w:val="TextBody"/>
        <w:bidi w:val="0"/>
        <w:spacing w:lineRule="auto" w:line="288" w:before="0" w:after="200"/>
        <w:jc w:val="left"/>
        <w:rPr/>
      </w:pPr>
      <w:r>
        <w:rPr>
          <w:rFonts w:ascii="Times New Roman;serif" w:hAnsi="Times New Roman;serif"/>
          <w:b w:val="false"/>
          <w:color w:val="000000"/>
          <w:sz w:val="20"/>
        </w:rPr>
        <w:t xml:space="preserve">The Company’s portfolio of residential mortgage loans serviced for third parties was $2.4 billion as of both June 30, 2026 and December 31, 2025.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serif" w:hAnsi="Times New Roman;serif"/>
          <w:b w:val="false"/>
          <w:i/>
          <w:color w:val="000000"/>
          <w:sz w:val="20"/>
        </w:rPr>
        <w:t>Fair Value of Assets and Liabilities</w:t>
      </w:r>
      <w:r>
        <w:rPr>
          <w:color w:val="000000"/>
        </w:rPr>
        <w:t xml:space="preserve"> </w:t>
      </w:r>
      <w:r>
        <w:rPr>
          <w:rFonts w:ascii="Times New Roman;serif" w:hAnsi="Times New Roman;serif"/>
          <w:b w:val="false"/>
          <w:color w:val="000000"/>
          <w:sz w:val="20"/>
        </w:rPr>
        <w:t xml:space="preserve">for more information). Changes to the balance of mortgage servicing rights are recorded in noninterest income under mortgage banking in the Company’s unaudited consolidated statements of income.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$1.2 million and $1.3 million for the three months ended June 30, 2026 and 2025, respectively, and $2.5 million and $2.6 million for the six months ended June 30, 2026 and 2025, respectively.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change in the carrying value of the Company’s mortgage servicing rights accounted for under the fair value measurement method was as follows:</w:t>
      </w:r>
    </w:p>
    <w:tbl>
      <w:tblPr>
        <w:tblW w:w="7180" w:type="dxa"/>
        <w:jc w:val="left"/>
        <w:tblInd w:w="0" w:type="dxa"/>
        <w:tblLayout w:type="fixed"/>
        <w:tblCellMar>
          <w:top w:w="28" w:type="dxa"/>
          <w:left w:w="28" w:type="dxa"/>
          <w:bottom w:w="28" w:type="dxa"/>
          <w:right w:w="28" w:type="dxa"/>
        </w:tblCellMar>
      </w:tblPr>
      <w:tblGrid>
        <w:gridCol w:w="897"/>
        <w:gridCol w:w="787"/>
        <w:gridCol w:w="790"/>
        <w:gridCol w:w="305"/>
        <w:gridCol w:w="657"/>
        <w:gridCol w:w="170"/>
        <w:gridCol w:w="305"/>
        <w:gridCol w:w="657"/>
        <w:gridCol w:w="170"/>
        <w:gridCol w:w="109"/>
        <w:gridCol w:w="109"/>
        <w:gridCol w:w="109"/>
        <w:gridCol w:w="277"/>
        <w:gridCol w:w="595"/>
        <w:gridCol w:w="154"/>
        <w:gridCol w:w="277"/>
        <w:gridCol w:w="595"/>
        <w:gridCol w:w="217"/>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change in the carrying value of the Company’s mortgage servicing rights accounted for under the amortization method was as follows:</w:t>
      </w:r>
    </w:p>
    <w:tbl>
      <w:tblPr>
        <w:tblW w:w="10205" w:type="dxa"/>
        <w:jc w:val="left"/>
        <w:tblInd w:w="0" w:type="dxa"/>
        <w:tblLayout w:type="fixed"/>
        <w:tblCellMar>
          <w:top w:w="28" w:type="dxa"/>
          <w:left w:w="28" w:type="dxa"/>
          <w:bottom w:w="28" w:type="dxa"/>
          <w:right w:w="28" w:type="dxa"/>
        </w:tblCellMar>
      </w:tblPr>
      <w:tblGrid>
        <w:gridCol w:w="2082"/>
        <w:gridCol w:w="1763"/>
        <w:gridCol w:w="1770"/>
        <w:gridCol w:w="224"/>
        <w:gridCol w:w="741"/>
        <w:gridCol w:w="124"/>
        <w:gridCol w:w="224"/>
        <w:gridCol w:w="741"/>
        <w:gridCol w:w="124"/>
        <w:gridCol w:w="109"/>
        <w:gridCol w:w="109"/>
        <w:gridCol w:w="109"/>
        <w:gridCol w:w="209"/>
        <w:gridCol w:w="689"/>
        <w:gridCol w:w="116"/>
        <w:gridCol w:w="209"/>
        <w:gridCol w:w="689"/>
        <w:gridCol w:w="173"/>
      </w:tblGrid>
      <w:tr>
        <w:trPr/>
        <w:tc>
          <w:tcPr>
            <w:tcW w:w="208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Rights that Resulted From Asset Transfers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17,743 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17,743 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Mortgage Servicing Rights Accounted for Under the Amortization Method</w:t>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key data and assumptions used in estimating the fair value of the Company’s mortgage servicing rights as of June 30, 2026 and December 31, 2025, were as follows:</w:t>
      </w:r>
    </w:p>
    <w:tbl>
      <w:tblPr>
        <w:tblW w:w="6148" w:type="dxa"/>
        <w:jc w:val="left"/>
        <w:tblInd w:w="0" w:type="dxa"/>
        <w:tblLayout w:type="fixed"/>
        <w:tblCellMar>
          <w:top w:w="28" w:type="dxa"/>
          <w:left w:w="28" w:type="dxa"/>
          <w:bottom w:w="28" w:type="dxa"/>
          <w:right w:w="28" w:type="dxa"/>
        </w:tblCellMar>
      </w:tblPr>
      <w:tblGrid>
        <w:gridCol w:w="1259"/>
        <w:gridCol w:w="1109"/>
        <w:gridCol w:w="1111"/>
        <w:gridCol w:w="258"/>
        <w:gridCol w:w="258"/>
        <w:gridCol w:w="608"/>
        <w:gridCol w:w="323"/>
        <w:gridCol w:w="323"/>
        <w:gridCol w:w="899"/>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Constant Prepayment Rate </w:t>
            </w:r>
            <w:r>
              <w:rPr>
                <w:rFonts w:ascii="Times New Roman;serif" w:hAnsi="Times New Roman;serif"/>
                <w:b w:val="false"/>
                <w:color w:val="000000"/>
                <w:sz w:val="12"/>
              </w:rPr>
              <w:t>1</w:t>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Life (in years)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Note Rate</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Discount Rate </w:t>
            </w:r>
            <w:r>
              <w:rPr>
                <w:rFonts w:ascii="Times New Roman;serif" w:hAnsi="Times New Roman;serif"/>
                <w:b w:val="false"/>
                <w:color w:val="000000"/>
                <w:sz w:val="12"/>
              </w:rPr>
              <w:t>2</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annualized loan prepayment rate assumption.</w:t>
      </w:r>
    </w:p>
    <w:p>
      <w:pPr>
        <w:pStyle w:val="TextBody"/>
        <w:bidi w:val="0"/>
        <w:spacing w:lineRule="auto" w:line="288" w:before="0" w:after="20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Derived from multiple interest rate scenarios that incorporate a spread to a market yield curve and market volatilities.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sensitivity analysis of the Company’s fair value of mortgage servicing rights to changes in certain key assumptions as of June 30, 2026 and December 31, 2025, is presented in the following table.</w:t>
      </w:r>
    </w:p>
    <w:tbl>
      <w:tblPr>
        <w:tblW w:w="7515" w:type="dxa"/>
        <w:jc w:val="left"/>
        <w:tblInd w:w="0" w:type="dxa"/>
        <w:tblLayout w:type="fixed"/>
        <w:tblCellMar>
          <w:top w:w="28" w:type="dxa"/>
          <w:left w:w="28" w:type="dxa"/>
          <w:bottom w:w="28" w:type="dxa"/>
          <w:right w:w="28" w:type="dxa"/>
        </w:tblCellMar>
      </w:tblPr>
      <w:tblGrid>
        <w:gridCol w:w="1757"/>
        <w:gridCol w:w="1540"/>
        <w:gridCol w:w="1548"/>
        <w:gridCol w:w="275"/>
        <w:gridCol w:w="697"/>
        <w:gridCol w:w="153"/>
        <w:gridCol w:w="379"/>
        <w:gridCol w:w="867"/>
        <w:gridCol w:w="299"/>
      </w:tblGrid>
      <w:tr>
        <w:trPr/>
        <w:tc>
          <w:tcPr>
            <w:tcW w:w="175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Constant Prepayment Rate</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25 basis points (“bps”) adverse change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50 bps adverse change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25 bps adverse change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50 bps adverse change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  Affordable Housing Projects Tax Credit Partnerships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activities of these entities include the identification, development, and operation of multi-family housing that is leased to qualifying residential tenants. Generally, these types of investments are funded through a combination of debt and equity.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$205.9 million and $224.7 million as of June 30, 2026 and December 31, 2025, respectively, and are included in other assets in the unaudited consolidated statements of condition.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expected payments for unfunded affordable housing commitments were as follows:</w:t>
      </w:r>
    </w:p>
    <w:tbl>
      <w:tblPr>
        <w:tblW w:w="3501" w:type="dxa"/>
        <w:jc w:val="left"/>
        <w:tblInd w:w="0" w:type="dxa"/>
        <w:tblLayout w:type="fixed"/>
        <w:tblCellMar>
          <w:top w:w="28" w:type="dxa"/>
          <w:left w:w="28" w:type="dxa"/>
          <w:bottom w:w="28" w:type="dxa"/>
          <w:right w:w="28" w:type="dxa"/>
        </w:tblCellMar>
      </w:tblPr>
      <w:tblGrid>
        <w:gridCol w:w="906"/>
        <w:gridCol w:w="798"/>
        <w:gridCol w:w="801"/>
        <w:gridCol w:w="196"/>
        <w:gridCol w:w="64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Unfunded Commitments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tax credits and other tax benefits recognized and amortization expense related to affordable housing for the three and six months ended June 30, 2026 and 2025.</w:t>
      </w:r>
    </w:p>
    <w:tbl>
      <w:tblPr>
        <w:tblW w:w="8605" w:type="dxa"/>
        <w:jc w:val="left"/>
        <w:tblInd w:w="0" w:type="dxa"/>
        <w:tblLayout w:type="fixed"/>
        <w:tblCellMar>
          <w:top w:w="28" w:type="dxa"/>
          <w:left w:w="28" w:type="dxa"/>
          <w:bottom w:w="28" w:type="dxa"/>
          <w:right w:w="28" w:type="dxa"/>
        </w:tblCellMar>
      </w:tblPr>
      <w:tblGrid>
        <w:gridCol w:w="1413"/>
        <w:gridCol w:w="1241"/>
        <w:gridCol w:w="1245"/>
        <w:gridCol w:w="245"/>
        <w:gridCol w:w="807"/>
        <w:gridCol w:w="136"/>
        <w:gridCol w:w="245"/>
        <w:gridCol w:w="695"/>
        <w:gridCol w:w="136"/>
        <w:gridCol w:w="109"/>
        <w:gridCol w:w="109"/>
        <w:gridCol w:w="109"/>
        <w:gridCol w:w="213"/>
        <w:gridCol w:w="702"/>
        <w:gridCol w:w="118"/>
        <w:gridCol w:w="213"/>
        <w:gridCol w:w="702"/>
        <w:gridCol w:w="167"/>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(dollars in thousands)</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Yield Method</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 and Other Tax Benefits Recognized</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in 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Proportional Amortization Method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 and Other Tax Benefits Recognized</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in 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impairment losses related to LIHTC investments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  Securities Sold Under Agreements to Repurchase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remaining contractual maturities of the Company’s repurchase agreements as of June 30, 2026 and December 31, 2025, by collateral pledged. Our remaining repurchase agreement with a private institution may be terminated at earlier specified dates by either the private institution or the Company.</w:t>
      </w:r>
    </w:p>
    <w:tbl>
      <w:tblPr>
        <w:tblW w:w="9826" w:type="dxa"/>
        <w:jc w:val="left"/>
        <w:tblInd w:w="0" w:type="dxa"/>
        <w:tblLayout w:type="fixed"/>
        <w:tblCellMar>
          <w:top w:w="28" w:type="dxa"/>
          <w:left w:w="28" w:type="dxa"/>
          <w:bottom w:w="28" w:type="dxa"/>
          <w:right w:w="28" w:type="dxa"/>
        </w:tblCellMar>
      </w:tblPr>
      <w:tblGrid>
        <w:gridCol w:w="1623"/>
        <w:gridCol w:w="1429"/>
        <w:gridCol w:w="1433"/>
        <w:gridCol w:w="322"/>
        <w:gridCol w:w="669"/>
        <w:gridCol w:w="178"/>
        <w:gridCol w:w="281"/>
        <w:gridCol w:w="583"/>
        <w:gridCol w:w="155"/>
        <w:gridCol w:w="231"/>
        <w:gridCol w:w="480"/>
        <w:gridCol w:w="128"/>
        <w:gridCol w:w="235"/>
        <w:gridCol w:w="775"/>
        <w:gridCol w:w="130"/>
        <w:gridCol w:w="231"/>
        <w:gridCol w:w="762"/>
        <w:gridCol w:w="181"/>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Remaining Contractual Maturity of Repurchase Agreements</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Up to 90 days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91-365 days</w:t>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After 3 Years</w:t>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rPr>
        <w:t xml:space="preserve">The following table presents the assets and liabilities subject to an enforceable master netting arrangement, or repurchase agreements as of June 30, 2026 and December 31, 2025.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serif" w:hAnsi="Times New Roman;serif"/>
          <w:b w:val="false"/>
          <w:i/>
          <w:color w:val="000000"/>
          <w:sz w:val="20"/>
        </w:rPr>
        <w:t>Derivative Financial Instruments</w:t>
      </w:r>
      <w:r>
        <w:rPr>
          <w:color w:val="000000"/>
        </w:rPr>
        <w:t xml:space="preserve"> </w:t>
      </w:r>
      <w:r>
        <w:rPr>
          <w:rFonts w:ascii="Times New Roman;serif" w:hAnsi="Times New Roman;serif"/>
          <w:b w:val="false"/>
          <w:color w:val="000000"/>
          <w:sz w:val="20"/>
        </w:rPr>
        <w:t>for more information on swap agreements.</w:t>
      </w:r>
    </w:p>
    <w:tbl>
      <w:tblPr>
        <w:tblW w:w="10205" w:type="dxa"/>
        <w:jc w:val="left"/>
        <w:tblInd w:w="0" w:type="dxa"/>
        <w:tblLayout w:type="fixed"/>
        <w:tblCellMar>
          <w:top w:w="28" w:type="dxa"/>
          <w:left w:w="28" w:type="dxa"/>
          <w:bottom w:w="28" w:type="dxa"/>
          <w:right w:w="28" w:type="dxa"/>
        </w:tblCellMar>
      </w:tblPr>
      <w:tblGrid>
        <w:gridCol w:w="684"/>
        <w:gridCol w:w="358"/>
        <w:gridCol w:w="359"/>
        <w:gridCol w:w="334"/>
        <w:gridCol w:w="1103"/>
        <w:gridCol w:w="186"/>
        <w:gridCol w:w="415"/>
        <w:gridCol w:w="861"/>
        <w:gridCol w:w="232"/>
        <w:gridCol w:w="322"/>
        <w:gridCol w:w="1064"/>
        <w:gridCol w:w="179"/>
        <w:gridCol w:w="356"/>
        <w:gridCol w:w="1174"/>
        <w:gridCol w:w="198"/>
        <w:gridCol w:w="292"/>
        <w:gridCol w:w="965"/>
        <w:gridCol w:w="162"/>
        <w:gridCol w:w="205"/>
        <w:gridCol w:w="582"/>
        <w:gridCol w:w="174"/>
      </w:tblGrid>
      <w:tr>
        <w:trPr/>
        <w:tc>
          <w:tcPr>
            <w:tcW w:w="68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Gross Amounts Not Offset in</w:t>
              <w:br/>
              <w:t>the Statements of Condition</w:t>
            </w:r>
          </w:p>
        </w:tc>
      </w:tr>
      <w:tr>
        <w:trPr/>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(dollars in thousands)</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Gross Amounts Recognized in the Statements of Condition</w:t>
            </w:r>
          </w:p>
        </w:tc>
        <w:tc>
          <w:tcPr>
            <w:tcW w:w="15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Gross Amounts Offset in the Statements of Condition</w:t>
            </w:r>
          </w:p>
        </w:tc>
        <w:tc>
          <w:tcPr>
            <w:tcW w:w="1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Amounts Presented in the Statements of Condition</w:t>
            </w:r>
          </w:p>
        </w:tc>
        <w:tc>
          <w:tcPr>
            <w:tcW w:w="1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Netting Adjustments per Master Netting Arrangements</w:t>
            </w:r>
          </w:p>
        </w:tc>
        <w:tc>
          <w:tcPr>
            <w:tcW w:w="1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 xml:space="preserve">Fair Value of Collateral Pledged/ Received </w:t>
            </w:r>
            <w:r>
              <w:rPr>
                <w:rFonts w:ascii="Times New Roman;serif" w:hAnsi="Times New Roman;serif"/>
                <w:b/>
                <w:color w:val="000000"/>
                <w:sz w:val="11"/>
              </w:rPr>
              <w:t>1</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Exposure</w:t>
            </w:r>
          </w:p>
        </w:tc>
      </w:tr>
      <w:tr>
        <w:trPr/>
        <w:tc>
          <w:tcPr>
            <w:tcW w:w="1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Institutions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Institutions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application of collateral cannot reduce the net exposure amount below zero. Accordingly, excess collateral is not reflected in this table. For interest rate swap agreements, the fair value of investment securities pledged as excess collateral and excluded from the table was $34.2 million and $45.9 million as of June 30, 2026 and December 31, 2025, respectively. For repurchase agreements with private institutions, the fair value of investment securities pledged was $54.1 million as of both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7.  Accumulated Other Comprehensive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other comprehensive income for the three and six months ended June 30, 2026 and 2025:</w:t>
      </w:r>
    </w:p>
    <w:tbl>
      <w:tblPr>
        <w:tblW w:w="9843" w:type="dxa"/>
        <w:jc w:val="left"/>
        <w:tblInd w:w="0" w:type="dxa"/>
        <w:tblLayout w:type="fixed"/>
        <w:tblCellMar>
          <w:top w:w="28" w:type="dxa"/>
          <w:left w:w="28" w:type="dxa"/>
          <w:bottom w:w="28" w:type="dxa"/>
          <w:right w:w="28" w:type="dxa"/>
        </w:tblCellMar>
      </w:tblPr>
      <w:tblGrid>
        <w:gridCol w:w="2518"/>
        <w:gridCol w:w="2210"/>
        <w:gridCol w:w="2217"/>
        <w:gridCol w:w="196"/>
        <w:gridCol w:w="646"/>
        <w:gridCol w:w="109"/>
        <w:gridCol w:w="196"/>
        <w:gridCol w:w="646"/>
        <w:gridCol w:w="109"/>
        <w:gridCol w:w="196"/>
        <w:gridCol w:w="646"/>
        <w:gridCol w:w="154"/>
      </w:tblGrid>
      <w:tr>
        <w:trPr/>
        <w:tc>
          <w:tcPr>
            <w:tcW w:w="2518"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Three Months Ended 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Losses on Investment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Losses Arising During the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Amounts Reclassified from Accumulated Other Comprehensive Income that Decrease Net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Holding Losses on Held-to-Maturity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Net Actuarial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Prior Service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 Net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Comprehensive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Three Months Ended June 30, 2025</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Arising During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Amounts Reclassified from Accumulated Other Comprehensive Income that Decrease Net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Holding Losses on Held-to-Maturity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18,970 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Net Actuarial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Prior Service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 Net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Comprehensive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Six Months Ended 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Losses on Investment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Losses Arising During the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Amounts Reclassified from Accumulated Other Comprehensive Income that Decrease Net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Holding Losses on Held-to-Maturity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Net Actuarial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Prior Service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 Net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Comprehensive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Six Months Ended June 30, 2025</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Arising During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Amounts Reclassified from Accumulated Other Comprehensive Income that Decrease Net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8192" w:type="dxa"/>
        <w:jc w:val="left"/>
        <w:tblInd w:w="0" w:type="dxa"/>
        <w:tblLayout w:type="fixed"/>
        <w:tblCellMar>
          <w:top w:w="28" w:type="dxa"/>
          <w:left w:w="28" w:type="dxa"/>
          <w:bottom w:w="28" w:type="dxa"/>
          <w:right w:w="28" w:type="dxa"/>
        </w:tblCellMar>
      </w:tblPr>
      <w:tblGrid>
        <w:gridCol w:w="1918"/>
        <w:gridCol w:w="1686"/>
        <w:gridCol w:w="1690"/>
        <w:gridCol w:w="196"/>
        <w:gridCol w:w="646"/>
        <w:gridCol w:w="109"/>
        <w:gridCol w:w="196"/>
        <w:gridCol w:w="646"/>
        <w:gridCol w:w="109"/>
        <w:gridCol w:w="196"/>
        <w:gridCol w:w="646"/>
        <w:gridCol w:w="154"/>
      </w:tblGrid>
      <w:tr>
        <w:trPr/>
        <w:tc>
          <w:tcPr>
            <w:tcW w:w="191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Holding Losses on Held-to-Maturity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Investment Securities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43,730 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Net Actuarial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Prior Service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Defined Benefit Plans, Net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Comprehensive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44,195 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amortization of unrealized holding losses on HTM securities relates to the Company’s reclassification of AFS investment securities to the HTM category and is being amortized over the remaining life of the investment securities as an adjustment of yield.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each component of accumulated other comprehensive income, net of tax,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084"/>
        <w:gridCol w:w="632"/>
        <w:gridCol w:w="635"/>
        <w:gridCol w:w="447"/>
        <w:gridCol w:w="1717"/>
        <w:gridCol w:w="250"/>
        <w:gridCol w:w="436"/>
        <w:gridCol w:w="1674"/>
        <w:gridCol w:w="244"/>
        <w:gridCol w:w="227"/>
        <w:gridCol w:w="794"/>
        <w:gridCol w:w="126"/>
        <w:gridCol w:w="343"/>
        <w:gridCol w:w="1319"/>
        <w:gridCol w:w="277"/>
      </w:tblGrid>
      <w:tr>
        <w:trPr/>
        <w:tc>
          <w:tcPr>
            <w:tcW w:w="10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 Securities-Available-for-Sale</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Investment Securities-Held-to-Maturity</w:t>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1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(117,161)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(110,025)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(247,217)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21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(117,555)</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(106,112)</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(243,475)</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(168,655)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(126,578)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(318,397)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21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14,646 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19,203 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(154,009)</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(122,254)</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(22,931)</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(299,194)</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(110,233)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(113,952)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(244,438)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21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(117,555)</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(106,112)</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(243,475)</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(189,230)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(130,763)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(343,389)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21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44,195 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(154,009)</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(122,254)</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(22,931)</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(299,194)</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reclassified out of each component of accumulated other comprehensive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236"/>
        <w:gridCol w:w="1081"/>
        <w:gridCol w:w="1084"/>
        <w:gridCol w:w="307"/>
        <w:gridCol w:w="1094"/>
        <w:gridCol w:w="170"/>
        <w:gridCol w:w="170"/>
        <w:gridCol w:w="170"/>
        <w:gridCol w:w="170"/>
        <w:gridCol w:w="307"/>
        <w:gridCol w:w="1094"/>
        <w:gridCol w:w="170"/>
        <w:gridCol w:w="109"/>
        <w:gridCol w:w="109"/>
        <w:gridCol w:w="109"/>
        <w:gridCol w:w="841"/>
        <w:gridCol w:w="815"/>
        <w:gridCol w:w="1169"/>
      </w:tblGrid>
      <w:tr>
        <w:trPr/>
        <w:tc>
          <w:tcPr>
            <w:tcW w:w="123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Details about Accumulated Other Comprehensive Income Components</w:t>
            </w:r>
          </w:p>
        </w:tc>
        <w:tc>
          <w:tcPr>
            <w:tcW w:w="3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Amount Reclassified from Accumulated Other Comprehensive Income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Affected Line Item in the Statement Where Net Income Is Presented</w:t>
            </w:r>
          </w:p>
        </w:tc>
      </w:tr>
      <w:tr>
        <w:trPr/>
        <w:tc>
          <w:tcPr>
            <w:tcW w:w="3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Investment Securities Held-to-Maturity</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(5,884)</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(3,913)</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Defined Benefit Plan Items</w:t>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Prior Service Credit</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Actuarial Losses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3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for the Period, Net of Tax</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Details about Accumulated Other Comprehensive Income Components</w:t>
            </w:r>
          </w:p>
        </w:tc>
        <w:tc>
          <w:tcPr>
            <w:tcW w:w="3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Amount Reclassified from Accumulated Other Comprehensive Income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Affected Line Item in the Statement Where Net Income Is Presented</w:t>
            </w:r>
          </w:p>
        </w:tc>
      </w:tr>
      <w:tr>
        <w:trPr/>
        <w:tc>
          <w:tcPr>
            <w:tcW w:w="3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Investment Securities Held-to-Maturity</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(7,840)</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Defined Benefit Plan Items</w:t>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Prior Service Credit</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Actuarial Losses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3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3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for the Period, Net of Tax</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(8,285)</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Amounts in parentheses indicate reductions to net income.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  Earnings Per Common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and six months ended June 30, 2026 and 2025:</w:t>
      </w:r>
    </w:p>
    <w:tbl>
      <w:tblPr>
        <w:tblW w:w="9309" w:type="dxa"/>
        <w:jc w:val="left"/>
        <w:tblInd w:w="0" w:type="dxa"/>
        <w:tblLayout w:type="fixed"/>
        <w:tblCellMar>
          <w:top w:w="28" w:type="dxa"/>
          <w:left w:w="28" w:type="dxa"/>
          <w:bottom w:w="28" w:type="dxa"/>
          <w:right w:w="28" w:type="dxa"/>
        </w:tblCellMar>
      </w:tblPr>
      <w:tblGrid>
        <w:gridCol w:w="1543"/>
        <w:gridCol w:w="1353"/>
        <w:gridCol w:w="1363"/>
        <w:gridCol w:w="252"/>
        <w:gridCol w:w="830"/>
        <w:gridCol w:w="140"/>
        <w:gridCol w:w="252"/>
        <w:gridCol w:w="830"/>
        <w:gridCol w:w="140"/>
        <w:gridCol w:w="109"/>
        <w:gridCol w:w="109"/>
        <w:gridCol w:w="109"/>
        <w:gridCol w:w="219"/>
        <w:gridCol w:w="824"/>
        <w:gridCol w:w="122"/>
        <w:gridCol w:w="219"/>
        <w:gridCol w:w="723"/>
        <w:gridCol w:w="172"/>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39,513,447</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39,622,998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39,540,239</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39,588,916</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Equity Based Awards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221,335</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299,098</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299,378</w:t>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39,734,782</w:t>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39,895,093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39,839,337</w:t>
            </w:r>
          </w:p>
        </w:tc>
        <w:tc>
          <w:tcPr>
            <w:tcW w:w="1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39,888,294</w:t>
            </w:r>
          </w:p>
        </w:tc>
      </w:tr>
      <w:tr>
        <w:trPr/>
        <w:tc>
          <w:tcPr>
            <w:tcW w:w="4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Restricted Stock Outstanding</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47,473</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52,528</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31,992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  Business 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business segments are defined as Consumer Banking, Commercial Banking, and Treasury and Other. The Company’s chief operating decision maker (“CODM”) is the President and Chief Executive Officer. The CODM uses income from operations to evaluate the performance of the overall business and to allocate resources to each of the segments.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Noninterest income and expense include allocations from support units to business units. These allocations are based on actual usage where practicably calculated or by management’s estimate of such usage.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Consumer Banking</w:t>
      </w:r>
    </w:p>
    <w:p>
      <w:pPr>
        <w:pStyle w:val="TextBody"/>
        <w:bidi w:val="0"/>
        <w:spacing w:lineRule="auto" w:line="288" w:before="0" w:after="200"/>
        <w:jc w:val="left"/>
        <w:rPr/>
      </w:pPr>
      <w:r>
        <w:rPr>
          <w:rFonts w:ascii="Times New Roman;serif" w:hAnsi="Times New Roman;serif"/>
          <w:b w:val="false"/>
          <w:color w:val="000000"/>
          <w:sz w:val="20"/>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w:t>
      </w:r>
      <w:r>
        <w:rPr>
          <w:color w:val="000000"/>
          <w:shd w:fill="FFFFFF" w:val="clear"/>
        </w:rPr>
        <w:t xml:space="preserve"> </w:t>
      </w:r>
      <w:r>
        <w:rPr>
          <w:rFonts w:ascii="Times New Roman;serif" w:hAnsi="Times New Roman;serif"/>
          <w:b w:val="false"/>
          <w:color w:val="000000"/>
          <w:sz w:val="20"/>
        </w:rPr>
        <w:t>52 branch locations and 315 ATMs throughout Hawai‘i and the West Pacific, a customer service center, and online and mobile banking services.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Commercial Banking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Treasury and Other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Selected business segment financial information as of and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405"/>
        <w:gridCol w:w="1217"/>
        <w:gridCol w:w="1222"/>
        <w:gridCol w:w="689"/>
        <w:gridCol w:w="426"/>
        <w:gridCol w:w="421"/>
        <w:gridCol w:w="746"/>
        <w:gridCol w:w="457"/>
        <w:gridCol w:w="439"/>
        <w:gridCol w:w="688"/>
        <w:gridCol w:w="433"/>
        <w:gridCol w:w="426"/>
        <w:gridCol w:w="647"/>
        <w:gridCol w:w="447"/>
        <w:gridCol w:w="542"/>
      </w:tblGrid>
      <w:tr>
        <w:trPr/>
        <w:tc>
          <w:tcPr>
            <w:tcW w:w="14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Consumer Banking</w:t>
            </w:r>
          </w:p>
        </w:tc>
        <w:tc>
          <w:tcPr>
            <w:tcW w:w="1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Banking</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and Other</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 Total</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109,701</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62,548</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(18,645)</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153,604</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106,298</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62,549</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(18,843)</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150,004</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36,149</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3,963</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43,299</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22,377</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4,567</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35,698</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62,642</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7,530</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2,942</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10,868</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61,128</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11,029</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(34,481)</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37,676</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91,035</w:t>
            </w:r>
          </w:p>
        </w:tc>
        <w:tc>
          <w:tcPr>
            <w:tcW w:w="1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15,992</w:t>
            </w:r>
          </w:p>
        </w:tc>
        <w:tc>
          <w:tcPr>
            <w:tcW w:w="15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w:t>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111,186</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51,412</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50,520</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(19,815)</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82,117</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13,153</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13,061</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(7,896)</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18,318</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38,259</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37,459</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(11,919)</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63,799</w:t>
            </w:r>
          </w:p>
        </w:tc>
      </w:tr>
      <w:tr>
        <w:trPr/>
        <w:tc>
          <w:tcPr>
            <w:tcW w:w="384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June 30, 2026</w:t>
            </w:r>
          </w:p>
        </w:tc>
        <w:tc>
          <w:tcPr>
            <w:tcW w:w="6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8,419,414</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6,282,009</w:t>
            </w:r>
          </w:p>
        </w:tc>
        <w:tc>
          <w:tcPr>
            <w:tcW w:w="6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9,141,517</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23,842,940</w:t>
            </w:r>
          </w:p>
        </w:tc>
      </w:tr>
      <w:tr>
        <w:trPr/>
        <w:tc>
          <w:tcPr>
            <w:tcW w:w="3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95,339</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53,949</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(19,605)</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129,683</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2,619</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92,720</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53,950</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(20,237)</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126,433</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33,981</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6,164</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4,650</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44,795</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21,032</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4,937</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35,339</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61,308</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7,142</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2,955</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58,629</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13,535</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(33,188)</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38,976</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86,803</w:t>
            </w:r>
          </w:p>
        </w:tc>
        <w:tc>
          <w:tcPr>
            <w:tcW w:w="1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18,874</w:t>
            </w:r>
          </w:p>
        </w:tc>
        <w:tc>
          <w:tcPr>
            <w:tcW w:w="15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5,106</w:t>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110,783</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39,898</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41,240</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(20,693)</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60,445</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10,161</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10,546</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(7,899)</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12,808</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29,737</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30,694</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(12,794)</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47,637</w:t>
            </w:r>
          </w:p>
        </w:tc>
      </w:tr>
      <w:tr>
        <w:trPr/>
        <w:tc>
          <w:tcPr>
            <w:tcW w:w="384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June 30, 2025</w:t>
            </w:r>
          </w:p>
        </w:tc>
        <w:tc>
          <w:tcPr>
            <w:tcW w:w="6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8,228,766</w:t>
            </w:r>
          </w:p>
        </w:tc>
        <w:tc>
          <w:tcPr>
            <w:tcW w:w="7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6,139,748</w:t>
            </w:r>
          </w:p>
        </w:tc>
        <w:tc>
          <w:tcPr>
            <w:tcW w:w="6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9,341,238</w:t>
            </w:r>
          </w:p>
        </w:tc>
        <w:tc>
          <w:tcPr>
            <w:tcW w:w="6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23,709,752</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05"/>
        <w:gridCol w:w="1217"/>
        <w:gridCol w:w="1222"/>
        <w:gridCol w:w="689"/>
        <w:gridCol w:w="426"/>
        <w:gridCol w:w="421"/>
        <w:gridCol w:w="746"/>
        <w:gridCol w:w="457"/>
        <w:gridCol w:w="439"/>
        <w:gridCol w:w="688"/>
        <w:gridCol w:w="433"/>
        <w:gridCol w:w="426"/>
        <w:gridCol w:w="647"/>
        <w:gridCol w:w="447"/>
        <w:gridCol w:w="542"/>
      </w:tblGrid>
      <w:tr>
        <w:trPr/>
        <w:tc>
          <w:tcPr>
            <w:tcW w:w="14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Consumer Banking</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Banking</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and Other</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 Total</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216,000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126,183</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(37,589)</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304,594</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6,096</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5,350</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209,904</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127,801</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(38,461)</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299,244</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69,617</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8,151</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6,863</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84,631</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44,275</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9,401</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77,423</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131,099</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14,847</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6,012</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21,650</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126,167</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22,569</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(74,228)</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74,508</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185,289</w:t>
            </w:r>
          </w:p>
        </w:tc>
        <w:tc>
          <w:tcPr>
            <w:tcW w:w="1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32,761</w:t>
            </w:r>
          </w:p>
        </w:tc>
        <w:tc>
          <w:tcPr>
            <w:tcW w:w="15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9,207</w:t>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227,257</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94,232</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103,191</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(40,805)</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156,618</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24,073</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26,666</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(15,352)</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35,387</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70,159</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76,525</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121,231</w:t>
            </w:r>
          </w:p>
        </w:tc>
      </w:tr>
      <w:tr>
        <w:trPr/>
        <w:tc>
          <w:tcPr>
            <w:tcW w:w="384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June 30, 2026</w:t>
            </w:r>
          </w:p>
        </w:tc>
        <w:tc>
          <w:tcPr>
            <w:tcW w:w="6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8,419,414</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6,282,009</w:t>
            </w:r>
          </w:p>
        </w:tc>
        <w:tc>
          <w:tcPr>
            <w:tcW w:w="6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9,141,517</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23,842,940</w:t>
            </w:r>
          </w:p>
        </w:tc>
      </w:tr>
      <w:tr>
        <w:trPr/>
        <w:tc>
          <w:tcPr>
            <w:tcW w:w="3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190,963</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109,523</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(44,996)</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255,490</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185,049</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108,416</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(44,475)</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248,990</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67,479</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13,898</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7,476</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88,853</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42,137</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10,297</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71,758</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124,192</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14,209</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21,058</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116,831</w:t>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27,417</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(68,256)</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75,992</w:t>
            </w:r>
          </w:p>
        </w:tc>
      </w:tr>
      <w:tr>
        <w:trPr/>
        <w:tc>
          <w:tcPr>
            <w:tcW w:w="3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173,177</w:t>
            </w:r>
          </w:p>
        </w:tc>
        <w:tc>
          <w:tcPr>
            <w:tcW w:w="16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38,516</w:t>
            </w:r>
          </w:p>
        </w:tc>
        <w:tc>
          <w:tcPr>
            <w:tcW w:w="15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9,549</w:t>
            </w:r>
          </w:p>
        </w:tc>
        <w:tc>
          <w:tcPr>
            <w:tcW w:w="1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221,242</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5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79,351</w:t>
            </w:r>
          </w:p>
        </w:tc>
        <w:tc>
          <w:tcPr>
            <w:tcW w:w="16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83,798</w:t>
            </w:r>
          </w:p>
        </w:tc>
        <w:tc>
          <w:tcPr>
            <w:tcW w:w="15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(46,548)</w:t>
            </w:r>
          </w:p>
        </w:tc>
        <w:tc>
          <w:tcPr>
            <w:tcW w:w="1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116,601</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20,162</w:t>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21,415</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(16,598)</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24,979</w:t>
            </w:r>
          </w:p>
        </w:tc>
      </w:tr>
      <w:tr>
        <w:trPr/>
        <w:tc>
          <w:tcPr>
            <w:tcW w:w="38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59,189</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62,383</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(29,950)</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91,622</w:t>
            </w:r>
          </w:p>
        </w:tc>
      </w:tr>
      <w:tr>
        <w:trPr/>
        <w:tc>
          <w:tcPr>
            <w:tcW w:w="384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June 30, 2025</w:t>
            </w:r>
          </w:p>
        </w:tc>
        <w:tc>
          <w:tcPr>
            <w:tcW w:w="6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8,228,766</w:t>
            </w:r>
          </w:p>
        </w:tc>
        <w:tc>
          <w:tcPr>
            <w:tcW w:w="7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6,139,748</w:t>
            </w:r>
          </w:p>
        </w:tc>
        <w:tc>
          <w:tcPr>
            <w:tcW w:w="6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9,341,238</w:t>
            </w:r>
          </w:p>
        </w:tc>
        <w:tc>
          <w:tcPr>
            <w:tcW w:w="6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23,709,752</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  Derivative Financial Instruments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notional amount and fair value of the Company’s derivative financial instruments as of June 30, 2026, and December 31, 2025 were as follows:</w:t>
      </w:r>
    </w:p>
    <w:tbl>
      <w:tblPr>
        <w:tblW w:w="9156" w:type="dxa"/>
        <w:jc w:val="left"/>
        <w:tblInd w:w="0" w:type="dxa"/>
        <w:tblLayout w:type="fixed"/>
        <w:tblCellMar>
          <w:top w:w="28" w:type="dxa"/>
          <w:left w:w="28" w:type="dxa"/>
          <w:bottom w:w="28" w:type="dxa"/>
          <w:right w:w="28" w:type="dxa"/>
        </w:tblCellMar>
      </w:tblPr>
      <w:tblGrid>
        <w:gridCol w:w="1443"/>
        <w:gridCol w:w="1270"/>
        <w:gridCol w:w="1276"/>
        <w:gridCol w:w="242"/>
        <w:gridCol w:w="1078"/>
        <w:gridCol w:w="134"/>
        <w:gridCol w:w="196"/>
        <w:gridCol w:w="646"/>
        <w:gridCol w:w="109"/>
        <w:gridCol w:w="109"/>
        <w:gridCol w:w="109"/>
        <w:gridCol w:w="109"/>
        <w:gridCol w:w="242"/>
        <w:gridCol w:w="1078"/>
        <w:gridCol w:w="134"/>
        <w:gridCol w:w="196"/>
        <w:gridCol w:w="631"/>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Interest Rate Swap Agreements </w:t>
            </w:r>
            <w:r>
              <w:rPr>
                <w:rFonts w:ascii="Times New Roman;serif" w:hAnsi="Times New Roman;serif"/>
                <w:b w:val="false"/>
                <w:color w:val="000000"/>
                <w:sz w:val="12"/>
              </w:rPr>
              <w:t>1</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Receive Fixed/Pay Variable Swaps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2,070,177 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2,337,727 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 Fixed/Receive Variable Swaps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2,070,177 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2,337,727 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Conversion Rate Swap Agreements </w:t>
            </w:r>
            <w:r>
              <w:rPr>
                <w:rFonts w:ascii="Times New Roman;serif" w:hAnsi="Times New Roman;serif"/>
                <w:b w:val="false"/>
                <w:color w:val="000000"/>
                <w:sz w:val="12"/>
              </w:rPr>
              <w:t>2</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Makewhole Agreements </w:t>
            </w:r>
            <w:r>
              <w:rPr>
                <w:rFonts w:ascii="Times New Roman;serif" w:hAnsi="Times New Roman;serif"/>
                <w:b w:val="false"/>
                <w:color w:val="000000"/>
                <w:sz w:val="12"/>
              </w:rPr>
              <w:t>3</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As of June 30, 2026 and December 31, 2025, the amounts presented in the table above exclude forward starting swaps with notional values of $200 million and $500 million, respectively, and fair values of $3.4 million and $1.5 million, respectively. The forward swaps outstanding at June 30, 2026 are scheduled to begin between August 2026 and September 2026.</w:t>
      </w:r>
    </w:p>
    <w:p>
      <w:pPr>
        <w:pStyle w:val="TextBody"/>
        <w:bidi w:val="0"/>
        <w:spacing w:lineRule="auto" w:line="288" w:before="0" w:after="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The conversion rate swap agreements were valued at zero as further reductions to the conversion rate were not reasonably estimable.</w:t>
      </w:r>
    </w:p>
    <w:p>
      <w:pPr>
        <w:pStyle w:val="TextBody"/>
        <w:bidi w:val="0"/>
        <w:spacing w:lineRule="auto" w:line="288" w:before="0" w:after="200"/>
        <w:ind w:left="0" w:right="0" w:hanging="90"/>
        <w:jc w:val="left"/>
        <w:rPr/>
      </w:pPr>
      <w:r>
        <w:rPr>
          <w:rFonts w:ascii="Times New Roman;serif" w:hAnsi="Times New Roman;serif"/>
          <w:b w:val="false"/>
          <w:color w:val="000000"/>
          <w:sz w:val="10"/>
        </w:rPr>
        <w:t>3</w:t>
      </w:r>
      <w:r>
        <w:rPr>
          <w:rFonts w:ascii="Times New Roman;serif" w:hAnsi="Times New Roman;serif"/>
          <w:b w:val="false"/>
          <w:color w:val="000000"/>
          <w:sz w:val="16"/>
        </w:rPr>
        <w:t>The makewhole agreements were valued at zero as the likelihood of a payment required to the buyer was not reasonably estimable.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financial instruments, their fair values, and their location in the unaudited consolidated statements of condition as of June 30, 2026 and December 31, 2025:</w:t>
      </w:r>
    </w:p>
    <w:tbl>
      <w:tblPr>
        <w:tblW w:w="8619" w:type="dxa"/>
        <w:jc w:val="left"/>
        <w:tblInd w:w="0" w:type="dxa"/>
        <w:tblLayout w:type="fixed"/>
        <w:tblCellMar>
          <w:top w:w="28" w:type="dxa"/>
          <w:left w:w="28" w:type="dxa"/>
          <w:bottom w:w="28" w:type="dxa"/>
          <w:right w:w="28" w:type="dxa"/>
        </w:tblCellMar>
      </w:tblPr>
      <w:tblGrid>
        <w:gridCol w:w="1443"/>
        <w:gridCol w:w="1271"/>
        <w:gridCol w:w="1275"/>
        <w:gridCol w:w="200"/>
        <w:gridCol w:w="753"/>
        <w:gridCol w:w="111"/>
        <w:gridCol w:w="219"/>
        <w:gridCol w:w="723"/>
        <w:gridCol w:w="123"/>
        <w:gridCol w:w="109"/>
        <w:gridCol w:w="109"/>
        <w:gridCol w:w="109"/>
        <w:gridCol w:w="219"/>
        <w:gridCol w:w="723"/>
        <w:gridCol w:w="123"/>
        <w:gridCol w:w="200"/>
        <w:gridCol w:w="752"/>
        <w:gridCol w:w="157"/>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Liability</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Liability</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Rate Swap Agreements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Designated as Hedging Instruments</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as Hedging Instruments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108,990 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92,799 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99,531 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107,000 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Derivatives</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109,040 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93,677 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107,205 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Asset derivatives are included in other assets and liability derivatives are included in other liabilities in the unaudited consolidated statements of condition. Derivatives are recognized on the Company's unaudited consolidated statements of condition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part of the Company's ongoing interest rate swap portfolio management process, the Company terminated three interest rate swap agreements with a total notional value of $400.0 million during the six months ended June 30, 2026. These interest rate swap agreements were designated as fair value hedging instruments. Upon termination of the swaps, the Company discontinued fair value hedge accounting; however, the cumulative fair value hedge basis adjustments of $6.8 million related to the hedged layers were retained in the carrying amounts of the respective closed portfolios. As of June 30, 2026 and December 31, 2025, the Company had aggregate unamortized losses of $25.5 million and $20.4 million, respectively, related to terminated interest rate swap agreements. These amounts are being amortized to interest income over the remaining terms of the hedged assets using the effective interest method. The Company amortized fair value hedge basis adjustments related to previously terminated interest rate swaps to interest income of $0.9 million and $0.7 million during the three months ended June 30, 2026 and 2025, respectively, and $1.6 million and $1.2 million during the six months ended June 30, 2026 and 2025,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financial instruments and the amount and location of the net gains or losses recognized in the unaudited consolidated statements of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21"/>
        <w:gridCol w:w="676"/>
        <w:gridCol w:w="679"/>
        <w:gridCol w:w="1277"/>
        <w:gridCol w:w="1022"/>
        <w:gridCol w:w="1025"/>
        <w:gridCol w:w="109"/>
        <w:gridCol w:w="109"/>
        <w:gridCol w:w="109"/>
        <w:gridCol w:w="221"/>
        <w:gridCol w:w="628"/>
        <w:gridCol w:w="122"/>
        <w:gridCol w:w="221"/>
        <w:gridCol w:w="682"/>
        <w:gridCol w:w="122"/>
        <w:gridCol w:w="109"/>
        <w:gridCol w:w="109"/>
        <w:gridCol w:w="109"/>
        <w:gridCol w:w="210"/>
        <w:gridCol w:w="596"/>
        <w:gridCol w:w="116"/>
        <w:gridCol w:w="210"/>
        <w:gridCol w:w="647"/>
        <w:gridCol w:w="176"/>
      </w:tblGrid>
      <w:tr>
        <w:trPr/>
        <w:tc>
          <w:tcPr>
            <w:tcW w:w="9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Net Gains (Losses) Recognized in the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3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0"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Interest Rate Swap Agreements</w:t>
            </w:r>
          </w:p>
        </w:tc>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Hedged Item</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Settlements</w:t>
            </w:r>
          </w:p>
        </w:tc>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Interest Rate Swap Agreements</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(11,826)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Hedged Item</w:t>
            </w:r>
          </w:p>
        </w:tc>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Settlements</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Rate Swap Agreements</w:t>
            </w:r>
          </w:p>
        </w:tc>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Investment Securities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32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amounts were recorded on the unaudited consolidated statements of condition related to the cumulative basis adjustment for fair value hedges as of June 30, 2026 and December 31, 2025:</w:t>
      </w:r>
    </w:p>
    <w:tbl>
      <w:tblPr>
        <w:tblW w:w="10205" w:type="dxa"/>
        <w:jc w:val="left"/>
        <w:tblInd w:w="0" w:type="dxa"/>
        <w:tblLayout w:type="fixed"/>
        <w:tblCellMar>
          <w:top w:w="28" w:type="dxa"/>
          <w:left w:w="28" w:type="dxa"/>
          <w:bottom w:w="28" w:type="dxa"/>
          <w:right w:w="28" w:type="dxa"/>
        </w:tblCellMar>
      </w:tblPr>
      <w:tblGrid>
        <w:gridCol w:w="996"/>
        <w:gridCol w:w="875"/>
        <w:gridCol w:w="880"/>
        <w:gridCol w:w="232"/>
        <w:gridCol w:w="873"/>
        <w:gridCol w:w="129"/>
        <w:gridCol w:w="234"/>
        <w:gridCol w:w="880"/>
        <w:gridCol w:w="129"/>
        <w:gridCol w:w="109"/>
        <w:gridCol w:w="109"/>
        <w:gridCol w:w="109"/>
        <w:gridCol w:w="497"/>
        <w:gridCol w:w="1570"/>
        <w:gridCol w:w="276"/>
        <w:gridCol w:w="497"/>
        <w:gridCol w:w="1412"/>
        <w:gridCol w:w="398"/>
      </w:tblGrid>
      <w:tr>
        <w:trPr/>
        <w:tc>
          <w:tcPr>
            <w:tcW w:w="9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Line Item in the Unaudited Consolidated Statements of Condition</w:t>
            </w:r>
          </w:p>
        </w:tc>
        <w:tc>
          <w:tcPr>
            <w:tcW w:w="247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Amount of Fair Value Hedging Adjustment Included In the Carrying Amount of the Hedged Assets</w:t>
            </w:r>
          </w:p>
        </w:tc>
      </w:tr>
      <w:tr>
        <w:trPr/>
        <w:tc>
          <w:tcPr>
            <w:tcW w:w="2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 Securities, Available-for-Sale </w:t>
            </w:r>
            <w:r>
              <w:rPr>
                <w:rFonts w:ascii="Times New Roman;serif" w:hAnsi="Times New Roman;serif"/>
                <w:b w:val="false"/>
                <w:color w:val="000000"/>
                <w:sz w:val="12"/>
              </w:rPr>
              <w:t>1</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493,220 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703,874 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(6,780)</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Loans and Leases </w:t>
            </w:r>
            <w:r>
              <w:rPr>
                <w:rFonts w:ascii="Times New Roman;serif" w:hAnsi="Times New Roman;serif"/>
                <w:b w:val="false"/>
                <w:color w:val="000000"/>
                <w:sz w:val="12"/>
              </w:rPr>
              <w:t>2</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1,090,383 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1,303,411 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June 30, 2026 and December 31, 2025, the fair value of the closed portfolios used in these hedging relationships was $1.2 billion and $1.3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ind w:left="0" w:right="0" w:hanging="180"/>
        <w:jc w:val="left"/>
        <w:rPr/>
      </w:pPr>
      <w:r>
        <w:rPr>
          <w:rFonts w:ascii="Times New Roman;serif" w:hAnsi="Times New Roman;serif"/>
          <w:b w:val="false"/>
          <w:color w:val="000000"/>
          <w:sz w:val="10"/>
        </w:rPr>
        <w:t>2</w:t>
      </w:r>
      <w:r>
        <w:rPr>
          <w:rFonts w:ascii="Times New Roman;serif" w:hAnsi="Times New Roman;serif"/>
          <w:b w:val="false"/>
          <w:color w:val="000000"/>
          <w:sz w:val="16"/>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June 30, 2026 and December 31, 2025, the amortized cost basis of the closed portfolios used in these hedging relationships was $2.7 billion and $2.8 billion, respectively.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Interest Rate Lock Commitments/Forward Commitments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facilitate the risk management strategies of certain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$79.3 million and $73.0 million as of June 30, 2026 and December 31, 2025, respectively.</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Foreign Exchange Swaps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enters into foreign exchange swap agreements to economically convert certain foreign-currency-denominated deposits into U.S. dollars for funding and liquidity management purposes. The foreign exchange swaps are free-standing derivatives which are carried at fair value with changes included in interest income in the Company’s consolidated statements of income.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Conversion Rate Swap Agreements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certain sales of Visa Class B restricted shares were completed, the Company entered into conversion rate swap agreements with the buyers that require payment to the buyers in the event Visa further reduces the conversion ratio of Class B into Class A unrestricted common shares. In the event of Visa increasing the conversion ratio, the buyers would be required to make payment to the Company. As of June 30, 2026 and December 31, 2025, the conversion rate swap agreements were valued at zero (i.e., no contingent liability recorded) as further reductions to the conversion ratio were deemed not reasonably estimable by management.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Makewhole Agreements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2024, the Company entered into makewhole agreements with certain buyers of its Visa Class B restricted shares that reduces the payments that would be required pursuant to the conversion rate swap agreements described above but would require payment to the buyer in the event Visa requires additional legal reserves to settle ongoing litigation. As of June 30, 2026 and December 31, 2025, the makewhole agreements were valued at zero (i.e., no contingent liability recorded) as the likelihood of the Company being required to make a payment to the buyer is not reasonably estimable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credit commitments as of June 30, 2026 and December 31, 2025 were as follows:</w:t>
      </w:r>
    </w:p>
    <w:tbl>
      <w:tblPr>
        <w:tblW w:w="5839" w:type="dxa"/>
        <w:jc w:val="left"/>
        <w:tblInd w:w="0" w:type="dxa"/>
        <w:tblLayout w:type="fixed"/>
        <w:tblCellMar>
          <w:top w:w="28" w:type="dxa"/>
          <w:left w:w="28" w:type="dxa"/>
          <w:bottom w:w="28" w:type="dxa"/>
          <w:right w:w="28" w:type="dxa"/>
        </w:tblCellMar>
      </w:tblPr>
      <w:tblGrid>
        <w:gridCol w:w="1112"/>
        <w:gridCol w:w="979"/>
        <w:gridCol w:w="983"/>
        <w:gridCol w:w="196"/>
        <w:gridCol w:w="871"/>
        <w:gridCol w:w="109"/>
        <w:gridCol w:w="255"/>
        <w:gridCol w:w="1134"/>
        <w:gridCol w:w="200"/>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Commitments to Extend Credit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3,301,183 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3,183,221 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99,692 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Letters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Credit Commitments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3,410,882 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3,289,960 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Unfunded Commitments to Extend Credit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Standby and Commercial Letters of Credit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$81.6 million secured certain specifically identified standby letters of credit as of June 30, 2026. As of June 30, 2026, the standby and commercial letters of credit had remaining terms ranging from 1 to 18 months.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  Fair Value of Assets and Liabilities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tbl>
      <w:tblPr>
        <w:tblW w:w="10205" w:type="dxa"/>
        <w:jc w:val="left"/>
        <w:tblInd w:w="0" w:type="dxa"/>
        <w:tblLayout w:type="fixed"/>
        <w:tblCellMar>
          <w:top w:w="28" w:type="dxa"/>
          <w:left w:w="28" w:type="dxa"/>
          <w:bottom w:w="28" w:type="dxa"/>
          <w:right w:w="28" w:type="dxa"/>
        </w:tblCellMar>
      </w:tblPr>
      <w:tblGrid>
        <w:gridCol w:w="234"/>
        <w:gridCol w:w="206"/>
        <w:gridCol w:w="208"/>
        <w:gridCol w:w="2806"/>
        <w:gridCol w:w="2796"/>
        <w:gridCol w:w="3955"/>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include quoted prices for similar assets or liabilities in active markets, for identical or similar assets or liabilities in markets that are not active, or that utilize model-based techniques for which all significant assumptions are observable in the market.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are unobservable and significant to the fair value measurement, that utilize model-based techniques for which significant assumptions are not observable in the market; or inputs to the valuation methodology that require significant management judgment or estimation, some of which may be internally developed.</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Investment Securities Available-for-Sale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 party broker quotes.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Loans Held for Sale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residential mortgage loans held for sale was determined based on quoted prices for similar loans in active markets, and therefore, is classified as a Level 2 measurement.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Mortgage Servicing Rights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and servicing costs, among other factors. Mortgage servicing rights are classified as Level 3 measurements due to the use of significant unobservable inputs, as well as significant management judgment and estimation.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Deferred Compensation Plan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are recorded at fair value on a recurring basis and are primarily comprised of mutual funds that are valued using quoted prices available in active markets. Thus, the Company’s investments related to deferred compensation arrangements are classified as Level 1 measurements in the fair value hierarchy.</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recorded at fair value on a recurring basis are comprised of IRLCs, forward commitments, interest rate swap agreements, foreign exchange swaps,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pStyle w:val="TextBody"/>
        <w:bidi w:val="0"/>
        <w:spacing w:lineRule="auto" w:line="288" w:before="0" w:after="200"/>
        <w:jc w:val="left"/>
        <w:rPr/>
      </w:pPr>
      <w:r>
        <w:rPr>
          <w:rFonts w:ascii="Times New Roman;serif" w:hAnsi="Times New Roman;serif"/>
          <w:b w:val="false"/>
          <w:color w:val="000000"/>
          <w:sz w:val="20"/>
        </w:rPr>
        <w:t xml:space="preserve">The fair values of interest rate swap agreements are calculated using a discounted cash flow approach and utilize Level 2 observable inputs such as a market yield curve, effective date, maturity date, notional amount, and stated interest rate.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2026 and December 31, 2025, the conversion rate swap agreements were valued at zero as reductions to the conversion ratio were not reasonably estimable by management. See Note 10 </w:t>
      </w:r>
      <w:r>
        <w:rPr>
          <w:rFonts w:ascii="Times New Roman;serif" w:hAnsi="Times New Roman;serif"/>
          <w:b w:val="false"/>
          <w:i/>
          <w:color w:val="000000"/>
          <w:sz w:val="20"/>
        </w:rPr>
        <w:t>Derivative Financial Instruments</w:t>
      </w:r>
      <w:r>
        <w:rPr>
          <w:color w:val="000000"/>
        </w:rPr>
        <w:t xml:space="preserve"> </w:t>
      </w:r>
      <w:r>
        <w:rPr>
          <w:rFonts w:ascii="Times New Roman;serif" w:hAnsi="Times New Roman;serif"/>
          <w:b w:val="false"/>
          <w:color w:val="000000"/>
          <w:sz w:val="20"/>
        </w:rPr>
        <w:t>for more information. The fair value of the makewhole agreements represents the amount owed by the Company to the buyer of the Visa Class B shares in the event Visa requires additional legal reserves to settle ongoing litigation. As of June 30, 2026, the makewhole agreements were valued at zero as the likelihood of the Company being required to make a payment to the buyer is not reasonably estimable by management.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of assets and liabilities measured at fair value on a recurring basis as of June 30, 2026 and December 31, 2025.</w:t>
      </w:r>
    </w:p>
    <w:tbl>
      <w:tblPr>
        <w:tblW w:w="10205" w:type="dxa"/>
        <w:jc w:val="left"/>
        <w:tblInd w:w="0" w:type="dxa"/>
        <w:tblLayout w:type="fixed"/>
        <w:tblCellMar>
          <w:top w:w="28" w:type="dxa"/>
          <w:left w:w="28" w:type="dxa"/>
          <w:bottom w:w="28" w:type="dxa"/>
          <w:right w:w="28" w:type="dxa"/>
        </w:tblCellMar>
      </w:tblPr>
      <w:tblGrid>
        <w:gridCol w:w="1572"/>
        <w:gridCol w:w="1260"/>
        <w:gridCol w:w="1191"/>
        <w:gridCol w:w="331"/>
        <w:gridCol w:w="1182"/>
        <w:gridCol w:w="199"/>
        <w:gridCol w:w="304"/>
        <w:gridCol w:w="1291"/>
        <w:gridCol w:w="183"/>
        <w:gridCol w:w="412"/>
        <w:gridCol w:w="925"/>
        <w:gridCol w:w="248"/>
        <w:gridCol w:w="181"/>
        <w:gridCol w:w="766"/>
        <w:gridCol w:w="160"/>
      </w:tblGrid>
      <w:tr>
        <w:trPr/>
        <w:tc>
          <w:tcPr>
            <w:tcW w:w="157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(dollars in thousands)</w:t>
            </w:r>
          </w:p>
        </w:tc>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Quoted Prices in Active Markets for </w:t>
              <w:br/>
              <w:t>Identical Assets or Liabilities</w:t>
              <w:br/>
              <w:t>(Level 1)</w:t>
            </w:r>
          </w:p>
        </w:tc>
        <w:tc>
          <w:tcPr>
            <w:tcW w:w="1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Significant Other Observable Inputs</w:t>
              <w:br/>
              <w:t>(Level 2)</w:t>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Significant Unobservable Inputs</w:t>
              <w:br/>
              <w:t>(Level 3)</w:t>
            </w:r>
          </w:p>
        </w:tc>
        <w:tc>
          <w:tcPr>
            <w:tcW w:w="1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June 30, 2026</w:t>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Available-for-Sale</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the U.S. Treasury and Government Agencies</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49,333 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87,560 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136,893 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States and Political Subdivisions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65,755 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65,755 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U.S. Government-Sponsored Enterprises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Corporations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701,523 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701,523 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Collateralized Mortgage Obligations:</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1,489,800 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1,489,800 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Government Agencies or Sponsored Enterprises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344,891 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344,891 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Non Agency</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60,587 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60,587 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Collateralized Mortgage Obligations</w:t>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1,895,278 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1,895,278 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Mortgage-Backed Securities:</w:t>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818,481 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818,481 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Securities Available-for-Sale</w:t>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49,333 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3,569,182 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3,618,515 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Loans Held for Sale</w:t>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5,089 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5,089 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 Servicing Rights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Compensation Plan Assets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12,781 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12,781 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109,040 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 Measured at Fair Value on a Recurring Basis as of June 30, 2026</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62,114 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3,683,295 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460 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3,745,869 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Liabilities:</w:t>
            </w:r>
          </w:p>
        </w:tc>
        <w:tc>
          <w:tcPr>
            <w:tcW w:w="17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93,677 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93,677 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 Measured at Fair Value on a Recurring Basis as of June 30, 2026</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93,677 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93,677 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December 31, 2025</w:t>
            </w:r>
          </w:p>
        </w:tc>
        <w:tc>
          <w:tcPr>
            <w:tcW w:w="1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Available-for-Sale</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the U.S. Treasury and Government Agencies</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99,115 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218,338 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States and Political Subdivisions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66,312 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66,312 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U.S. Government-Sponsored Enterprises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Corporations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735,643 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735,643 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Collateralized Mortgage Obligations:</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1,488,382 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1,488,382 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Government Agencies or Sponsored Enterprises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329,836 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329,836 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Non Agency</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60,645 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Collateralized Mortgage Obligations</w:t>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1,878,863 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1,878,863 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Mortgage-Backed Securities:</w:t>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610,715 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610,715 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Securities Available-for-Sale</w:t>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119,223 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3,391,429 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3,510,652 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Loans Held for Sale</w:t>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 Servicing Rights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Compensation Plan Assets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15,959 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15,959 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99,536 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99,581 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 Measured at Fair Value on a Recurring Basis as of December 31, 2025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135,182 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3,495,334 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596 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3,631,112 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Liabilities:</w:t>
            </w:r>
          </w:p>
        </w:tc>
        <w:tc>
          <w:tcPr>
            <w:tcW w:w="1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 Measured at Fair Value on a Recurring Basis as of December 31, 2025</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fair value of each class of derivatives is shown in Note 10. </w:t>
      </w:r>
      <w:r>
        <w:rPr>
          <w:rFonts w:ascii="Times New Roman;serif" w:hAnsi="Times New Roman;serif"/>
          <w:b w:val="false"/>
          <w:i/>
          <w:color w:val="000000"/>
          <w:sz w:val="16"/>
        </w:rPr>
        <w:t>Derivative Financial Instruments</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June 30, 2026 and December 31, 2025, there were no assets or liabilities with nonrecurring fair value adjustments. Additionally, there were no nonrecurring fair value adjustments during the three and six months ended June 30, 2026 and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Fair Value Option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difference between the aggregate fair value and the aggregate unpaid principal balance of the Company’s residential mortgage loans held for sale as of June 30, 2026 and December 31, 2025.</w:t>
      </w:r>
    </w:p>
    <w:tbl>
      <w:tblPr>
        <w:tblW w:w="10205" w:type="dxa"/>
        <w:jc w:val="left"/>
        <w:tblInd w:w="0" w:type="dxa"/>
        <w:tblLayout w:type="fixed"/>
        <w:tblCellMar>
          <w:top w:w="28" w:type="dxa"/>
          <w:left w:w="28" w:type="dxa"/>
          <w:bottom w:w="28" w:type="dxa"/>
          <w:right w:w="28" w:type="dxa"/>
        </w:tblCellMar>
      </w:tblPr>
      <w:tblGrid>
        <w:gridCol w:w="572"/>
        <w:gridCol w:w="497"/>
        <w:gridCol w:w="499"/>
        <w:gridCol w:w="109"/>
        <w:gridCol w:w="109"/>
        <w:gridCol w:w="109"/>
        <w:gridCol w:w="372"/>
        <w:gridCol w:w="1058"/>
        <w:gridCol w:w="209"/>
        <w:gridCol w:w="109"/>
        <w:gridCol w:w="109"/>
        <w:gridCol w:w="109"/>
        <w:gridCol w:w="467"/>
        <w:gridCol w:w="1329"/>
        <w:gridCol w:w="262"/>
        <w:gridCol w:w="109"/>
        <w:gridCol w:w="109"/>
        <w:gridCol w:w="109"/>
        <w:gridCol w:w="1134"/>
        <w:gridCol w:w="1921"/>
        <w:gridCol w:w="904"/>
      </w:tblGrid>
      <w:tr>
        <w:trPr/>
        <w:tc>
          <w:tcPr>
            <w:tcW w:w="57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Unpaid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Fair Value Less Aggregate Unpaid Principal</w:t>
            </w:r>
          </w:p>
        </w:tc>
      </w:tr>
      <w:tr>
        <w:trPr/>
        <w:tc>
          <w:tcPr>
            <w:tcW w:w="15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Changes in the estimated fair value of residential mortgage loans held for sale are reported as a component of mortgage banking income in the Company’s unaudited consolidated statements of income. For the three and six months ended June 30, 2026 and 2025, the net gains or losses from the change in fair value of the Company’s residential mortgage loans held for sale were immaterial.</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Financial Instruments Not Recorded at Fair Value on a Recurring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presents the carrying amount, fair value, and placement in the fair value hierarchy of the Company’s financial instruments not recorded at fair value on a recurring basis as of June 30, 2026 and December 31, 2025.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or to another member institution. For financial liabilities such as noninterest-bearing demand, interest-bearing demand, and savings deposits, the carrying amount is the estimate of fair value due to these products having no stated maturity.</w:t>
      </w:r>
    </w:p>
    <w:tbl>
      <w:tblPr>
        <w:tblW w:w="10205" w:type="dxa"/>
        <w:jc w:val="left"/>
        <w:tblInd w:w="0" w:type="dxa"/>
        <w:tblLayout w:type="fixed"/>
        <w:tblCellMar>
          <w:top w:w="28" w:type="dxa"/>
          <w:left w:w="28" w:type="dxa"/>
          <w:bottom w:w="28" w:type="dxa"/>
          <w:right w:w="28" w:type="dxa"/>
        </w:tblCellMar>
      </w:tblPr>
      <w:tblGrid>
        <w:gridCol w:w="922"/>
        <w:gridCol w:w="444"/>
        <w:gridCol w:w="445"/>
        <w:gridCol w:w="109"/>
        <w:gridCol w:w="109"/>
        <w:gridCol w:w="109"/>
        <w:gridCol w:w="204"/>
        <w:gridCol w:w="907"/>
        <w:gridCol w:w="113"/>
        <w:gridCol w:w="109"/>
        <w:gridCol w:w="109"/>
        <w:gridCol w:w="109"/>
        <w:gridCol w:w="196"/>
        <w:gridCol w:w="871"/>
        <w:gridCol w:w="109"/>
        <w:gridCol w:w="109"/>
        <w:gridCol w:w="109"/>
        <w:gridCol w:w="109"/>
        <w:gridCol w:w="263"/>
        <w:gridCol w:w="990"/>
        <w:gridCol w:w="146"/>
        <w:gridCol w:w="109"/>
        <w:gridCol w:w="109"/>
        <w:gridCol w:w="109"/>
        <w:gridCol w:w="249"/>
        <w:gridCol w:w="1109"/>
        <w:gridCol w:w="138"/>
        <w:gridCol w:w="109"/>
        <w:gridCol w:w="109"/>
        <w:gridCol w:w="109"/>
        <w:gridCol w:w="408"/>
        <w:gridCol w:w="759"/>
        <w:gridCol w:w="297"/>
      </w:tblGrid>
      <w:tr>
        <w:trPr/>
        <w:tc>
          <w:tcPr>
            <w:tcW w:w="92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w:t>
            </w:r>
          </w:p>
        </w:tc>
      </w:tr>
      <w:tr>
        <w:trPr/>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w:t>
              <w:br/>
              <w:t>Identical Assets or Liabilities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1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4,070,908 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3,337,695 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13,991,083 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13,597,291 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2,525,714 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Debt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3,536,219 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13,784,829 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13,423,382 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2,781,082 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2,774,104 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Debt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555,622 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Excludes finance lease obligations.</w:t>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(“MD&amp;A”) of Financial Condition and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MD&amp;A is intended to help the reader understand the Company and its operations and is focused on our financial results for the second quarter of 2026, including comparisons of year-to-year performance, trends, and updates from the Company’s most recent 10-K filing. Discussion and analysis of our 2025 fiscal year, as well as the year-to-year comparison between fiscal years 2025 and 2024, are included in Part II, Item 7. “Management's Discussion and Analysis of Financial Condition and Results of Operations,” of our Annual Report on Form 10-K for the fiscal year ended December 31, 2025, filed with the SEC on 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forward-looking statements are based on numerous assumptions, any of which could prove to be inaccurate, and actual results may differ materially from those projected due to global economic conditions and a variety of risks and uncertainties, including, but not limited to: (1) Our business is sensitive to regional business and economic conditions, in particular those of Hawaiʻi, Guam and other Pacific Islands; (2) Our loan portfolio is largely secured by real estate, and a downturn in the real estate market may adversely affect our results of operations; (3) Significant changes to the size, structure, powers and operations of the federal government, the effects of any prolonged shutdown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 (5) 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Hawaiʻi could adversely impact the economy in Hawaiʻi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third-party vendors and other service providers, may result in financial losses, loss of customers, or damage to our reputation; (18) An interruption or breach in security of our information systems or those related to merchants and third-party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Hawaiʻi and the Pacific Islands may negatively affect real estate property values and our operations (25) Competition may adversely affect our business; (26) Our future performance will depend on our ability to respond timely to technological change; (27) The development and use of AI present risks and challenges that may adversely impact our business; (28) Negative public opinion could damage our reputation and adversely impact our earnings and liquidity (29) We are subject to certain litigation, and our expenses related to this litigation may adversely affect our results; (30) Our performance depends on attracting and retaining key employees and skilled personnel to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effectively; (31) The soundness of other financial institutions may adversely impact our financial condition or results of operations; and (32) We have experienced increases in FDIC insurance assessments.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Investor Announcements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2025. There have been no significant changes in the Company’s application of critical accounting estimates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a regional financial services company serving businesses, consumers, and governments in Hawai‘i, Guam, and other Pacific Islands. Our principal operating subsidiary, the Bank, was founded in 1897.</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Hawai‘i Economy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Hawai‘i’s near-term economic outlook has weakened due to the Iran war's impact on oil prices, which is expected to raise inflation, increase travel costs, and slow growth in key visitor source markets. Jet fuel prices have roughly doubled recently, resulting in significant transpacific airfare increases and prompting some airline capacity reductions. Japanese travel demand remains constrained by the historically weak yen. Despite these challenges, total visitor arrivals are projected to increase modestly in 2026, although growth is expected to slow in 2027. Hawai‘i’s labor market remains stable but stagnant. Statewide payroll growth was flat through the second quarter of 2026 and there was a slight contraction in the labor force. Construction continues to be a bright spot, supported by federal projects, Maui wildfire rebuilding efforts, and development of the New Aloha Stadium Entertainment District. The real estate market remains soft, with slow resale activity and declining condominium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first six months of 2026, the median price of single-family home sales on Oahu increased by 2.6% while the median price of condominiums increased by 1.5% compared to the same period in 2025. The volume of single-family homes sales on Oahu increased 3.9% and condominium sales decreased 2.3% compared to the same period in 2025. Inventory of single-family homes and condominiums on Oahu was 3.2 months and 7.0 months, respectively, for the second quarter of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Earnings Summary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 for the second quarter of 2026 was $63.8 million, an increase of $16.2 million, or 33.9%, compared to the same period in 2025. Diluted earnings per common share was $1.47 for the second quarter of 2026, an increase of $0.41, or 38.7%, compared to the same period in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The return on average common equity for the second quarter of 2026 was 15.47% compared with 12.50% in the same period last year.</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Net interest income for the second quarter of 2026 was $153.6 million, an increase of 18.4% compared to the same period last year.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Net interest margin was 2.78% in the second quarter of 2026, an increase of 39 basis points from the same period last year.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The provision for credit losses for the second quarter of 2026 and 2025 was $3.6 million and $3.3 million, respectively.</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Noninterest income was $43.3 million in the second quarter of 2026, a decrease of 3.3% compared to the same period last year.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Noninterest expense was $111.2 million in the second quarter of 2026 and remained flat compared to the same period last year.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The effective tax rate for the second quarter of 2026 was 22.3% compared with 21.2% for the same period last year.</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Total assets were $23.8 billion as of June 30, 2026, a decrease of 1.4% from December 31,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Total loans and leases were $14.3 billion as of June 30, 2026, an increase of 1.5% from December 31,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The allowance for credit losses on loans and leases was $147.0 million as of June 30, 2026, an increase of $0.2 million from December 31, 2025. The ratio of the allowance for credit losses to total loans and leases outstanding was 1.03% at the end of the quarter, down 1 basis point from December 31,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Net loan and lease charge-offs during the second quarter of 2026 were $3.4 million, comprised of charge-offs of $4.7 million partially offset by recoveries of $1.3 million. Compared to the same quarter of 2025, net loan and lease charge-offs increased by $0.8 million. Net loan and lease charge-offs to average loans and leases outstanding during the second quarter of 2026 was 0.10% compared to 0.07% in the same period last year.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Total non-performing assets (“NPAs”) were $11.5 million as of June 30, 2026, down $2.7 million from December 31, 2025. NPAs were 8 basis points of total loans and leases and foreclosed real estate at the end of the quarter, down 2 basis points from December 31,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The investment securities portfolio was $7.7 billion as of June 30, 2026, a decrease of 0.9% from December 31, 2025. The investment portfolio remains largely comprised of securities issued by U.S. government agencies and U.S. government-sponsored enterprises.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 xml:space="preserve">Total deposits were $20.9 billion as of June 30, 2026 and $21.2 billion as of December 31, 2025. </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Total shareholders’ equity was $1.9 billion as of June 30, 2026 and December 31, 2025.</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During the three months ended June 30, 2026, we repurchased 215,995 shares of common stock at an average cost per share of $78.60 and a total cost of $17.0 million under the share repurchase program. Total remaining buyback authority under the share repurchase program was $88.9 million at June 30, 2026.</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We maintained a quarterly dividend of $0.70 per common share during the three months ended June 30, 2026 and 2025.</w:t>
      </w:r>
    </w:p>
    <w:p>
      <w:pPr>
        <w:pStyle w:val="TextBody"/>
        <w:bidi w:val="0"/>
        <w:spacing w:before="0" w:after="20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Analysis of Unaudited Statements of Income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Average balances, related income and expenses, and resulting yields and rates are presented in Table 1. An analysis of the change in net interest income, on a taxable-equivalent basis, is presented in Table 2.</w:t>
      </w:r>
    </w:p>
    <w:tbl>
      <w:tblPr>
        <w:tblW w:w="11571" w:type="dxa"/>
        <w:jc w:val="left"/>
        <w:tblInd w:w="0" w:type="dxa"/>
        <w:tblLayout w:type="fixed"/>
        <w:tblCellMar>
          <w:top w:w="28" w:type="dxa"/>
          <w:left w:w="28" w:type="dxa"/>
          <w:bottom w:w="28" w:type="dxa"/>
          <w:right w:w="28" w:type="dxa"/>
        </w:tblCellMar>
      </w:tblPr>
      <w:tblGrid>
        <w:gridCol w:w="729"/>
        <w:gridCol w:w="365"/>
        <w:gridCol w:w="197"/>
        <w:gridCol w:w="181"/>
        <w:gridCol w:w="646"/>
        <w:gridCol w:w="109"/>
        <w:gridCol w:w="181"/>
        <w:gridCol w:w="466"/>
        <w:gridCol w:w="109"/>
        <w:gridCol w:w="195"/>
        <w:gridCol w:w="196"/>
        <w:gridCol w:w="230"/>
        <w:gridCol w:w="109"/>
        <w:gridCol w:w="109"/>
        <w:gridCol w:w="109"/>
        <w:gridCol w:w="181"/>
        <w:gridCol w:w="646"/>
        <w:gridCol w:w="109"/>
        <w:gridCol w:w="181"/>
        <w:gridCol w:w="466"/>
        <w:gridCol w:w="109"/>
        <w:gridCol w:w="195"/>
        <w:gridCol w:w="196"/>
        <w:gridCol w:w="230"/>
        <w:gridCol w:w="109"/>
        <w:gridCol w:w="109"/>
        <w:gridCol w:w="109"/>
        <w:gridCol w:w="181"/>
        <w:gridCol w:w="646"/>
        <w:gridCol w:w="109"/>
        <w:gridCol w:w="181"/>
        <w:gridCol w:w="466"/>
        <w:gridCol w:w="109"/>
        <w:gridCol w:w="195"/>
        <w:gridCol w:w="196"/>
        <w:gridCol w:w="230"/>
        <w:gridCol w:w="109"/>
        <w:gridCol w:w="109"/>
        <w:gridCol w:w="109"/>
        <w:gridCol w:w="181"/>
        <w:gridCol w:w="646"/>
        <w:gridCol w:w="109"/>
        <w:gridCol w:w="181"/>
        <w:gridCol w:w="466"/>
        <w:gridCol w:w="109"/>
        <w:gridCol w:w="195"/>
        <w:gridCol w:w="196"/>
        <w:gridCol w:w="277"/>
      </w:tblGrid>
      <w:tr>
        <w:trPr/>
        <w:tc>
          <w:tcPr>
            <w:tcW w:w="7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6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3"/>
              </w:rPr>
            </w:pPr>
            <w:r>
              <w:rPr>
                <w:rFonts w:ascii="Times New Roman;serif" w:hAnsi="Times New Roman;serif"/>
                <w:b/>
                <w:color w:val="000000"/>
                <w:sz w:val="13"/>
              </w:rPr>
              <w:t>Average Balances and Interest Rates - Taxable-Equivalent Basis ¹</w:t>
            </w:r>
          </w:p>
        </w:tc>
        <w:tc>
          <w:tcPr>
            <w:tcW w:w="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3"/>
              </w:rPr>
            </w:pPr>
            <w:r>
              <w:rPr>
                <w:rFonts w:ascii="Times New Roman;serif" w:hAnsi="Times New Roman;serif"/>
                <w:b/>
                <w:color w:val="000000"/>
                <w:sz w:val="13"/>
              </w:rPr>
              <w:t>Table 1</w:t>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Six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Six Months Ended June 30, 2025</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(dollars in millions)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Average Balance</w:t>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 xml:space="preserve">Income/Expense </w:t>
            </w:r>
            <w:r>
              <w:rPr>
                <w:rFonts w:ascii="Times New Roman;serif" w:hAnsi="Times New Roman;serif"/>
                <w:b/>
                <w:color w:val="000000"/>
                <w:sz w:val="8"/>
              </w:rPr>
              <w:t>2</w:t>
            </w:r>
          </w:p>
        </w:tc>
        <w:tc>
          <w:tcPr>
            <w:tcW w:w="6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Yield/Rate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Average Balance</w:t>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 xml:space="preserve">Income/Expense </w:t>
            </w:r>
            <w:r>
              <w:rPr>
                <w:rFonts w:ascii="Times New Roman;serif" w:hAnsi="Times New Roman;serif"/>
                <w:b/>
                <w:color w:val="000000"/>
                <w:sz w:val="8"/>
              </w:rPr>
              <w:t>2</w:t>
            </w:r>
          </w:p>
        </w:tc>
        <w:tc>
          <w:tcPr>
            <w:tcW w:w="6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Yield/Rate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Average Balance</w:t>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 xml:space="preserve">Income/Expense </w:t>
            </w:r>
            <w:r>
              <w:rPr>
                <w:rFonts w:ascii="Times New Roman;serif" w:hAnsi="Times New Roman;serif"/>
                <w:b/>
                <w:color w:val="000000"/>
                <w:sz w:val="8"/>
              </w:rPr>
              <w:t>2</w:t>
            </w:r>
          </w:p>
        </w:tc>
        <w:tc>
          <w:tcPr>
            <w:tcW w:w="6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Yield/Rate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Average Balance</w:t>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 xml:space="preserve">Income/Expense </w:t>
            </w:r>
            <w:r>
              <w:rPr>
                <w:rFonts w:ascii="Times New Roman;serif" w:hAnsi="Times New Roman;serif"/>
                <w:b/>
                <w:color w:val="000000"/>
                <w:sz w:val="8"/>
              </w:rPr>
              <w:t>2</w:t>
            </w:r>
          </w:p>
        </w:tc>
        <w:tc>
          <w:tcPr>
            <w:tcW w:w="6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Yield/Rate</w:t>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Earning Assets</w:t>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Taxable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3,634.0 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Held-to-Maturity</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Non-Taxable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Investment Securities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6.20 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5.66 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27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Loans and Leases </w:t>
            </w:r>
            <w:r>
              <w:rPr>
                <w:rFonts w:ascii="Times New Roman;serif" w:hAnsi="Times New Roman;serif"/>
                <w:b w:val="false"/>
                <w:color w:val="000000"/>
                <w:sz w:val="9"/>
              </w:rPr>
              <w:t>3</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Mortgage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5.18 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7.26 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Lease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Mortgage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Home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Automobile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5.19 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5.61 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5.10 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Loans and Leases</w:t>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14,219.0 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14,049.0 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4.80 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14,151.8 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4.77 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14,055.6 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332.7 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4.76 </w:t>
            </w:r>
          </w:p>
        </w:tc>
        <w:tc>
          <w:tcPr>
            <w:tcW w:w="27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Earning Assets</w:t>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22,326.9 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21,980.8 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22,353.8 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451.1 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4.05 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22,002.2 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27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Non-Earning Assets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Assets</w:t>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23,861.8 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23,597.0 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23,888.4 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23,617.4 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Interest-Bearing Liabilities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Demand</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0.78 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0.82 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0.74 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0.79 </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Savings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8,578.6 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8,709.4 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8,561.7 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Interest-Bearing Deposits</w:t>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15,239.3 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15,334.1 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15,250.1 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15,344.6 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27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Sold Under Agreements to Repurchase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Debt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4.20 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4.21 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Interest-Bearing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Interest Income</w:t>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307.4 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Spread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Margin</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Demand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Shareholders' Equity</w:t>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23,861.8 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23,597.0 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23,888.4 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23,617.4 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9"/>
        </w:rPr>
        <w:t>1</w:t>
      </w:r>
      <w:r>
        <w:rPr>
          <w:rFonts w:ascii="Times New Roman;serif" w:hAnsi="Times New Roman;serif"/>
          <w:b w:val="false"/>
          <w:color w:val="000000"/>
          <w:sz w:val="14"/>
        </w:rPr>
        <w:t>Due to rounding, the amounts presented in this table may not tie to other amounts presented elsewhere in this report.</w:t>
      </w:r>
    </w:p>
    <w:p>
      <w:pPr>
        <w:pStyle w:val="TextBody"/>
        <w:bidi w:val="0"/>
        <w:spacing w:lineRule="auto" w:line="288" w:before="0" w:after="0"/>
        <w:ind w:left="0" w:right="0" w:hanging="450"/>
        <w:jc w:val="left"/>
        <w:rPr/>
      </w:pPr>
      <w:r>
        <w:rPr>
          <w:rFonts w:ascii="Times New Roman;serif" w:hAnsi="Times New Roman;serif"/>
          <w:b w:val="false"/>
          <w:color w:val="000000"/>
          <w:sz w:val="9"/>
        </w:rPr>
        <w:t>2</w:t>
      </w:r>
      <w:r>
        <w:rPr>
          <w:rFonts w:ascii="Times New Roman;serif" w:hAnsi="Times New Roman;serif"/>
          <w:b w:val="false"/>
          <w:color w:val="000000"/>
          <w:sz w:val="14"/>
        </w:rPr>
        <w:t>Interest income includes taxable-equivalent basis adjustments, based upon a federal statutory tax rate of 21%, of $1.4 million and $2.8 million for the three and six months ended June 30, 2026, respectively, and $1.6 million and $3.1 million for the three and six months ended June 30, 2025, respectively.</w:t>
      </w:r>
    </w:p>
    <w:p>
      <w:pPr>
        <w:pStyle w:val="TextBody"/>
        <w:bidi w:val="0"/>
        <w:spacing w:lineRule="auto" w:line="288" w:before="0" w:after="0"/>
        <w:ind w:left="0" w:right="0" w:hanging="450"/>
        <w:jc w:val="left"/>
        <w:rPr/>
      </w:pPr>
      <w:r>
        <w:rPr>
          <w:rFonts w:ascii="Times New Roman;serif" w:hAnsi="Times New Roman;serif"/>
          <w:b w:val="false"/>
          <w:color w:val="000000"/>
          <w:sz w:val="9"/>
        </w:rPr>
        <w:t>3</w:t>
      </w:r>
      <w:r>
        <w:rPr>
          <w:rFonts w:ascii="Times New Roman;serif" w:hAnsi="Times New Roman;serif"/>
          <w:b w:val="false"/>
          <w:color w:val="000000"/>
          <w:sz w:val="14"/>
        </w:rPr>
        <w:t>Non-performing loans and leases are included in the respective average loan and lease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72"/>
        <w:gridCol w:w="971"/>
        <w:gridCol w:w="857"/>
        <w:gridCol w:w="468"/>
        <w:gridCol w:w="1061"/>
        <w:gridCol w:w="260"/>
        <w:gridCol w:w="468"/>
        <w:gridCol w:w="1114"/>
        <w:gridCol w:w="260"/>
        <w:gridCol w:w="196"/>
        <w:gridCol w:w="466"/>
        <w:gridCol w:w="109"/>
        <w:gridCol w:w="109"/>
        <w:gridCol w:w="109"/>
        <w:gridCol w:w="109"/>
        <w:gridCol w:w="205"/>
        <w:gridCol w:w="488"/>
        <w:gridCol w:w="114"/>
        <w:gridCol w:w="205"/>
        <w:gridCol w:w="488"/>
        <w:gridCol w:w="114"/>
        <w:gridCol w:w="205"/>
        <w:gridCol w:w="488"/>
        <w:gridCol w:w="169"/>
      </w:tblGrid>
      <w:tr>
        <w:trPr/>
        <w:tc>
          <w:tcPr>
            <w:tcW w:w="11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Analysis of Change in Net Interest Income - Taxable-Equivalent Basis</w:t>
            </w:r>
          </w:p>
        </w:tc>
        <w:tc>
          <w:tcPr>
            <w:tcW w:w="7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w:t>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Compared to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Compared to June 30, 2025</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Volume </w:t>
            </w:r>
            <w:r>
              <w:rPr>
                <w:rFonts w:ascii="Times New Roman;serif" w:hAnsi="Times New Roman;serif"/>
                <w:b/>
                <w:color w:val="000000"/>
                <w:sz w:val="10"/>
              </w:rPr>
              <w:t>1</w:t>
            </w:r>
          </w:p>
        </w:tc>
        <w:tc>
          <w:tcPr>
            <w:tcW w:w="1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Volume </w:t>
            </w:r>
            <w:r>
              <w:rPr>
                <w:rFonts w:ascii="Times New Roman;serif" w:hAnsi="Times New Roman;serif"/>
                <w:b/>
                <w:color w:val="000000"/>
                <w:sz w:val="10"/>
              </w:rPr>
              <w:t>1</w:t>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Interest Income:</w:t>
            </w:r>
          </w:p>
        </w:tc>
        <w:tc>
          <w:tcPr>
            <w:tcW w:w="17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7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w:t>
            </w:r>
          </w:p>
        </w:tc>
        <w:tc>
          <w:tcPr>
            <w:tcW w:w="17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Securities</w:t>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52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Lease Financing</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152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Interest Income</w:t>
            </w:r>
          </w:p>
        </w:tc>
        <w:tc>
          <w:tcPr>
            <w:tcW w:w="152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Interest Expense:</w:t>
            </w:r>
          </w:p>
        </w:tc>
        <w:tc>
          <w:tcPr>
            <w:tcW w:w="17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Demand</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15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152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Interest Expense</w:t>
            </w:r>
          </w:p>
        </w:tc>
        <w:tc>
          <w:tcPr>
            <w:tcW w:w="152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Net Interest Income</w:t>
            </w:r>
          </w:p>
        </w:tc>
        <w:tc>
          <w:tcPr>
            <w:tcW w:w="46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6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6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The change in interest income or expense due to both rate and volume has been allocated between the factors in proportion to the relationship of the absolute dollar amounts of the change in each.</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average balance of our earning assets for the three and six months ended June 30, 2026 increased by $346.1 million or 2% and $351.6 million or 2%, respectively, compared to the same periods in 2025. These increases were primarily due to an increase in the average balance of available-for-sale investment securities. As compared to the same periods last year, yields on our investment securities portfolio increased by 29 basis points during both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primarily due to the amortization of lower yielding investments being reinvested into new investments at higher current interest rates, as well as the impact of the repositioning of a portion of our AFS securities portfolio in the fourth quarter of 2025, which resulted in a higher-yielding securities mix. As compared to the same period last year, yields on our loan and lease portfolio decreased by 1 basis point during the three months ended June 30, 2026, primarily due to a decrease in rates resulting in the repricing of certain variable</w:t>
        <w:noBreakHyphen/>
        <w:t>rate loans. Yields on our loan and lease portfolio increased by 1 basis point during the six months ended June 30, 2026, primarily due to the continued amortization of lower</w:t>
        <w:noBreakHyphen/>
        <w:t>yielding loans along with the origination of new loans at higher prevailing interest rates, partially offset by a decrease in rates resulting in the repricing of certain variable</w:t>
        <w:noBreakHyphen/>
        <w:t>rate loans following Federal Reserve rate cuts.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average balance of our interest-bearing deposits for the three and six months ended June 30, 2026 decreased by $94.8 million or 1% and $94.5 million or 1%, respectively, compared to the same periods in 2025. As compared to the same periods last year, the cost of our interest-bearing deposits decreased by 43 basis points during both the three and six months ended June 30, 2026 primarily due to a decrease in the prevailing interest rate environment.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3 presents the components of noninterest income.</w:t>
      </w:r>
    </w:p>
    <w:tbl>
      <w:tblPr>
        <w:tblW w:w="10205" w:type="dxa"/>
        <w:jc w:val="left"/>
        <w:tblInd w:w="0" w:type="dxa"/>
        <w:tblLayout w:type="fixed"/>
        <w:tblCellMar>
          <w:top w:w="28" w:type="dxa"/>
          <w:left w:w="28" w:type="dxa"/>
          <w:bottom w:w="28" w:type="dxa"/>
          <w:right w:w="28" w:type="dxa"/>
        </w:tblCellMar>
      </w:tblPr>
      <w:tblGrid>
        <w:gridCol w:w="743"/>
        <w:gridCol w:w="623"/>
        <w:gridCol w:w="624"/>
        <w:gridCol w:w="196"/>
        <w:gridCol w:w="646"/>
        <w:gridCol w:w="109"/>
        <w:gridCol w:w="196"/>
        <w:gridCol w:w="646"/>
        <w:gridCol w:w="109"/>
        <w:gridCol w:w="216"/>
        <w:gridCol w:w="663"/>
        <w:gridCol w:w="120"/>
        <w:gridCol w:w="289"/>
        <w:gridCol w:w="233"/>
        <w:gridCol w:w="494"/>
        <w:gridCol w:w="109"/>
        <w:gridCol w:w="109"/>
        <w:gridCol w:w="109"/>
        <w:gridCol w:w="196"/>
        <w:gridCol w:w="646"/>
        <w:gridCol w:w="109"/>
        <w:gridCol w:w="196"/>
        <w:gridCol w:w="646"/>
        <w:gridCol w:w="109"/>
        <w:gridCol w:w="216"/>
        <w:gridCol w:w="663"/>
        <w:gridCol w:w="120"/>
        <w:gridCol w:w="273"/>
        <w:gridCol w:w="235"/>
        <w:gridCol w:w="562"/>
      </w:tblGrid>
      <w:tr>
        <w:trPr/>
        <w:tc>
          <w:tcPr>
            <w:tcW w:w="74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3</w:t>
            </w:r>
          </w:p>
        </w:tc>
      </w:tr>
      <w:tr>
        <w:trPr/>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Asset Management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Fees, Exchange, and Other Service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Annuity and 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Losses,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Trust and asset management income is comprised of fees earned from the management and administration of trusts and other customer assets. The management fees are largely based upon the market value of the assets and the fee rate charged to customers. Total trust assets under administration were $14.3 billion and $12.6 billion as of June 30, 2026 and June 30, 2025, respectively. Trust and Asset Management income increased by $1.6 million or 13% in the second quarter of 2026 and by $2.3 million or 10% for the six months ended June 30, 2026 compared to the same periods last year, primarily due to higher agency and trust-related fees.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Fees, exchange, and other service charges decreased by $3.3 million or 23% in the second quarter of 2026 and by $6.8 million or 23% for the six months ended June 30, 2026 compared to the same periods last year, primarily due to lower merchant income following the sale of our merchant services portfolio in the fourth quarter of 2025.</w:t>
      </w:r>
    </w:p>
    <w:p>
      <w:pPr>
        <w:pStyle w:val="TextBody"/>
        <w:bidi w:val="0"/>
        <w:spacing w:lineRule="auto" w:line="288" w:before="0" w:after="200"/>
        <w:jc w:val="left"/>
        <w:rPr/>
      </w:pPr>
      <w:r>
        <w:rPr>
          <w:rFonts w:ascii="Times New Roman;serif" w:hAnsi="Times New Roman;serif"/>
          <w:b w:val="false"/>
          <w:color w:val="000000"/>
          <w:sz w:val="20"/>
        </w:rPr>
        <w:t xml:space="preserve">Annuity and insurance income increased by </w:t>
      </w:r>
      <w:r>
        <w:rPr>
          <w:rFonts w:ascii="Times New Roman;serif" w:hAnsi="Times New Roman;serif"/>
          <w:b w:val="false"/>
          <w:color w:val="000000"/>
          <w:sz w:val="18"/>
        </w:rPr>
        <w:t xml:space="preserve">$0.6 million or 40% </w:t>
      </w:r>
      <w:r>
        <w:rPr>
          <w:rFonts w:ascii="Times New Roman;serif" w:hAnsi="Times New Roman;serif"/>
          <w:b w:val="false"/>
          <w:color w:val="000000"/>
          <w:sz w:val="20"/>
        </w:rPr>
        <w:t xml:space="preserve">in the second quarter of 2026 and by </w:t>
      </w:r>
      <w:r>
        <w:rPr>
          <w:rFonts w:ascii="Times New Roman;serif" w:hAnsi="Times New Roman;serif"/>
          <w:b w:val="false"/>
          <w:color w:val="000000"/>
          <w:sz w:val="18"/>
        </w:rPr>
        <w:t>$0.5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17%</w:t>
      </w:r>
      <w:r>
        <w:rPr>
          <w:color w:val="000000"/>
        </w:rPr>
        <w:t xml:space="preserve"> </w:t>
      </w:r>
      <w:r>
        <w:rPr>
          <w:rFonts w:ascii="Times New Roman;serif" w:hAnsi="Times New Roman;serif"/>
          <w:b w:val="false"/>
          <w:color w:val="000000"/>
          <w:sz w:val="20"/>
        </w:rPr>
        <w:t>for the six months ended June 30, 2026 compared to the same periods last year, primarily due to higher production resulting from expanded product offerings and improved referral activity during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 decreased by $0.7 million or 13% in the second quarter of 2026 and by $1.5 million or 14% for the six months ended June 30, 2026 compared to the same periods last year. These decreases were primarily due to a gain on sale of other real estate owned (“OREO”) property and the recovery of a previously charged-off bank-owned life insurance policy during the quarter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4 presents the components of noninterest expense.</w:t>
      </w:r>
    </w:p>
    <w:tbl>
      <w:tblPr>
        <w:tblW w:w="10205" w:type="dxa"/>
        <w:jc w:val="left"/>
        <w:tblInd w:w="0" w:type="dxa"/>
        <w:tblLayout w:type="fixed"/>
        <w:tblCellMar>
          <w:top w:w="28" w:type="dxa"/>
          <w:left w:w="28" w:type="dxa"/>
          <w:bottom w:w="28" w:type="dxa"/>
          <w:right w:w="28" w:type="dxa"/>
        </w:tblCellMar>
      </w:tblPr>
      <w:tblGrid>
        <w:gridCol w:w="670"/>
        <w:gridCol w:w="523"/>
        <w:gridCol w:w="525"/>
        <w:gridCol w:w="196"/>
        <w:gridCol w:w="736"/>
        <w:gridCol w:w="109"/>
        <w:gridCol w:w="196"/>
        <w:gridCol w:w="736"/>
        <w:gridCol w:w="109"/>
        <w:gridCol w:w="241"/>
        <w:gridCol w:w="519"/>
        <w:gridCol w:w="134"/>
        <w:gridCol w:w="298"/>
        <w:gridCol w:w="294"/>
        <w:gridCol w:w="480"/>
        <w:gridCol w:w="109"/>
        <w:gridCol w:w="109"/>
        <w:gridCol w:w="109"/>
        <w:gridCol w:w="196"/>
        <w:gridCol w:w="736"/>
        <w:gridCol w:w="109"/>
        <w:gridCol w:w="196"/>
        <w:gridCol w:w="736"/>
        <w:gridCol w:w="109"/>
        <w:gridCol w:w="222"/>
        <w:gridCol w:w="632"/>
        <w:gridCol w:w="123"/>
        <w:gridCol w:w="273"/>
        <w:gridCol w:w="232"/>
        <w:gridCol w:w="548"/>
      </w:tblGrid>
      <w:tr>
        <w:trPr/>
        <w:tc>
          <w:tcPr>
            <w:tcW w:w="6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4</w:t>
            </w:r>
          </w:p>
        </w:tc>
      </w:tr>
      <w:tr>
        <w:trPr/>
        <w:tc>
          <w:tcPr>
            <w:tcW w:w="1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7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Medical, Dental, and Life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and Other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Separation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Salaries and Benefits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FDIC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and Postage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Mileage Program Travel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Operational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Development and Travel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6,015 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pPr>
      <w:r>
        <w:rPr>
          <w:rFonts w:ascii="Times New Roman;serif" w:hAnsi="Times New Roman;serif"/>
          <w:b w:val="false"/>
          <w:color w:val="000000"/>
          <w:sz w:val="20"/>
        </w:rPr>
        <w:t xml:space="preserve">Total salaries and benefits expense increased by </w:t>
      </w:r>
      <w:r>
        <w:rPr>
          <w:rFonts w:ascii="Times New Roman;serif" w:hAnsi="Times New Roman;serif"/>
          <w:b w:val="false"/>
          <w:color w:val="000000"/>
          <w:sz w:val="18"/>
        </w:rPr>
        <w:t>$1.3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2%</w:t>
      </w:r>
      <w:r>
        <w:rPr>
          <w:color w:val="000000"/>
        </w:rPr>
        <w:t xml:space="preserve"> </w:t>
      </w:r>
      <w:r>
        <w:rPr>
          <w:rFonts w:ascii="Times New Roman;serif" w:hAnsi="Times New Roman;serif"/>
          <w:b w:val="false"/>
          <w:color w:val="000000"/>
          <w:sz w:val="20"/>
        </w:rPr>
        <w:t xml:space="preserve">in the second quarter of 2026, primarily due to an increase in medical, dental, and life insurance expense, base salaries, and commission expense. Total salaries and benefits expense increased by </w:t>
      </w:r>
      <w:r>
        <w:rPr>
          <w:rFonts w:ascii="Times New Roman;serif" w:hAnsi="Times New Roman;serif"/>
          <w:b w:val="false"/>
          <w:color w:val="000000"/>
          <w:sz w:val="18"/>
        </w:rPr>
        <w:t>$6.9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6%</w:t>
      </w:r>
      <w:r>
        <w:rPr>
          <w:color w:val="000000"/>
        </w:rPr>
        <w:t xml:space="preserve"> </w:t>
      </w:r>
      <w:r>
        <w:rPr>
          <w:rFonts w:ascii="Times New Roman;serif" w:hAnsi="Times New Roman;serif"/>
          <w:b w:val="false"/>
          <w:color w:val="000000"/>
          <w:sz w:val="20"/>
        </w:rPr>
        <w:t xml:space="preserve">for the six months ended June 30, 2026 compared to the same period last year, primarily due to an increase in share-based compensation related to the accelerated vesting in the first quarter of 2026 of restricted stock awards pursuant to the retirement provisions of performance-based restricted stock awards granted in 2024 and 2025. Base salaries increased by </w:t>
      </w:r>
      <w:r>
        <w:rPr>
          <w:rFonts w:ascii="Times New Roman;serif" w:hAnsi="Times New Roman;serif"/>
          <w:b w:val="false"/>
          <w:color w:val="000000"/>
          <w:sz w:val="18"/>
        </w:rPr>
        <w:t>$1.6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2%</w:t>
      </w:r>
      <w:r>
        <w:rPr>
          <w:color w:val="000000"/>
        </w:rPr>
        <w:t xml:space="preserve"> </w:t>
      </w:r>
      <w:r>
        <w:rPr>
          <w:rFonts w:ascii="Times New Roman;serif" w:hAnsi="Times New Roman;serif"/>
          <w:b w:val="false"/>
          <w:color w:val="000000"/>
          <w:sz w:val="20"/>
        </w:rPr>
        <w:t xml:space="preserve">primarily due to annual merit increases, while incentive compensation increased by </w:t>
      </w:r>
      <w:r>
        <w:rPr>
          <w:rFonts w:ascii="Times New Roman;serif" w:hAnsi="Times New Roman;serif"/>
          <w:b w:val="false"/>
          <w:color w:val="000000"/>
          <w:sz w:val="18"/>
        </w:rPr>
        <w:t>$1.2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11%</w:t>
      </w:r>
      <w:r>
        <w:rPr>
          <w:color w:val="000000"/>
        </w:rPr>
        <w:t xml:space="preserve"> </w:t>
      </w:r>
      <w:r>
        <w:rPr>
          <w:rFonts w:ascii="Times New Roman;serif" w:hAnsi="Times New Roman;serif"/>
          <w:b w:val="false"/>
          <w:color w:val="000000"/>
          <w:sz w:val="20"/>
        </w:rPr>
        <w:t>during the six months ended June 30, 2026 compared to the same period last year.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equipment expense increased by $0.6 million or 6% in the second quarter of 2026 and by $1.0 million or 5% for the six months ended June 30, 2026 compared to the same periods last year, primarily due to higher software license fees and maintenance.</w:t>
      </w:r>
    </w:p>
    <w:p>
      <w:pPr>
        <w:pStyle w:val="TextBody"/>
        <w:bidi w:val="0"/>
        <w:spacing w:lineRule="auto" w:line="288" w:before="0" w:after="200"/>
        <w:jc w:val="left"/>
        <w:rPr/>
      </w:pPr>
      <w:r>
        <w:rPr>
          <w:rFonts w:ascii="Times New Roman;serif" w:hAnsi="Times New Roman;serif"/>
          <w:b w:val="false"/>
          <w:color w:val="000000"/>
          <w:sz w:val="20"/>
        </w:rPr>
        <w:t xml:space="preserve">Professional fees increased by </w:t>
      </w:r>
      <w:r>
        <w:rPr>
          <w:rFonts w:ascii="Times New Roman;serif" w:hAnsi="Times New Roman;serif"/>
          <w:b w:val="false"/>
          <w:color w:val="000000"/>
          <w:sz w:val="18"/>
        </w:rPr>
        <w:t>$1.0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24%</w:t>
      </w:r>
      <w:r>
        <w:rPr>
          <w:color w:val="000000"/>
        </w:rPr>
        <w:t xml:space="preserve"> </w:t>
      </w:r>
      <w:r>
        <w:rPr>
          <w:rFonts w:ascii="Times New Roman;serif" w:hAnsi="Times New Roman;serif"/>
          <w:b w:val="false"/>
          <w:color w:val="000000"/>
          <w:sz w:val="20"/>
        </w:rPr>
        <w:t xml:space="preserve">in the second quarter of 2026 and by </w:t>
      </w:r>
      <w:r>
        <w:rPr>
          <w:rFonts w:ascii="Times New Roman;serif" w:hAnsi="Times New Roman;serif"/>
          <w:b w:val="false"/>
          <w:color w:val="000000"/>
          <w:sz w:val="18"/>
        </w:rPr>
        <w:t>$1.0 million</w:t>
      </w:r>
      <w:r>
        <w:rPr>
          <w:color w:val="000000"/>
        </w:rPr>
        <w:t xml:space="preserve"> </w:t>
      </w:r>
      <w:r>
        <w:rPr>
          <w:rFonts w:ascii="Times New Roman;serif" w:hAnsi="Times New Roman;serif"/>
          <w:b w:val="false"/>
          <w:color w:val="000000"/>
          <w:sz w:val="20"/>
        </w:rPr>
        <w:t>or 11% for the six months ended June 30, 2026 compared to the same periods last year, primarily due to an increase in consulting costs incurred.</w:t>
      </w:r>
    </w:p>
    <w:p>
      <w:pPr>
        <w:pStyle w:val="TextBody"/>
        <w:bidi w:val="0"/>
        <w:spacing w:lineRule="auto" w:line="288" w:before="0" w:after="200"/>
        <w:jc w:val="left"/>
        <w:rPr/>
      </w:pPr>
      <w:r>
        <w:rPr>
          <w:rFonts w:ascii="Times New Roman;serif" w:hAnsi="Times New Roman;serif"/>
          <w:b w:val="false"/>
          <w:color w:val="000000"/>
          <w:sz w:val="20"/>
        </w:rPr>
        <w:t xml:space="preserve">FDIC insurance expense decreased by $0.7 million or 18.2% in the second quarter of 2026 compared to the same period last year, primarily due to a lower FDIC assessment rate. FDIC insurance expense increased by </w:t>
      </w:r>
      <w:r>
        <w:rPr>
          <w:rFonts w:ascii="Times New Roman;serif" w:hAnsi="Times New Roman;serif"/>
          <w:b w:val="false"/>
          <w:color w:val="000000"/>
          <w:sz w:val="18"/>
        </w:rPr>
        <w:t>$0.4 million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8"/>
        </w:rPr>
        <w:t>8%</w:t>
      </w:r>
      <w:r>
        <w:rPr>
          <w:color w:val="000000"/>
        </w:rPr>
        <w:t xml:space="preserve"> </w:t>
      </w:r>
      <w:r>
        <w:rPr>
          <w:rFonts w:ascii="Times New Roman;serif" w:hAnsi="Times New Roman;serif"/>
          <w:b w:val="false"/>
          <w:color w:val="000000"/>
          <w:sz w:val="20"/>
        </w:rPr>
        <w:t>for the six months ended June 30, 2026 compared to the same period last year, primarily due to a partial recovery of the FDIC special assessment in 2025, partially offset by the lower FDIC assessment rate, discussed above.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decreased by $2.3 million or 14.6% in the second quarter of 2026 and by $4.2 million or 14% for the six months ended June 30, 2026 compared to the same periods last year, primarily due to lower merchant transaction and card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processing fees following the sale of our merchant services portfolio in the fourth quarter of 2025, as well as a decrease in operational losses due to fewer dispute charge-offs.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5 presents our provision for income taxes and effective tax rates.</w:t>
      </w:r>
    </w:p>
    <w:tbl>
      <w:tblPr>
        <w:tblW w:w="8927" w:type="dxa"/>
        <w:jc w:val="left"/>
        <w:tblInd w:w="0" w:type="dxa"/>
        <w:tblLayout w:type="fixed"/>
        <w:tblCellMar>
          <w:top w:w="28" w:type="dxa"/>
          <w:left w:w="28" w:type="dxa"/>
          <w:bottom w:w="28" w:type="dxa"/>
          <w:right w:w="28" w:type="dxa"/>
        </w:tblCellMar>
      </w:tblPr>
      <w:tblGrid>
        <w:gridCol w:w="1480"/>
        <w:gridCol w:w="1305"/>
        <w:gridCol w:w="1310"/>
        <w:gridCol w:w="202"/>
        <w:gridCol w:w="666"/>
        <w:gridCol w:w="264"/>
        <w:gridCol w:w="202"/>
        <w:gridCol w:w="666"/>
        <w:gridCol w:w="264"/>
        <w:gridCol w:w="109"/>
        <w:gridCol w:w="109"/>
        <w:gridCol w:w="109"/>
        <w:gridCol w:w="196"/>
        <w:gridCol w:w="646"/>
        <w:gridCol w:w="256"/>
        <w:gridCol w:w="196"/>
        <w:gridCol w:w="646"/>
        <w:gridCol w:w="301"/>
      </w:tblGrid>
      <w:tr>
        <w:trPr/>
        <w:tc>
          <w:tcPr>
            <w:tcW w:w="148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Provision for Income Taxes and Effective Tax Rates</w:t>
            </w:r>
          </w:p>
        </w:tc>
        <w:tc>
          <w:tcPr>
            <w:tcW w:w="11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5</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0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18,318 </w:t>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12,808 </w:t>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35,387 </w:t>
            </w:r>
          </w:p>
        </w:tc>
        <w:tc>
          <w:tcPr>
            <w:tcW w:w="2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24,979 </w:t>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$18.3 million in the second quarter of 2026, an increase of $5.5 million compared to the same period last year. The effective tax rate for the second quarter of 2026 was 22.3%, an increase from 21.2% for the same period last year. The higher effective tax rate for the second quarter of 2026 compared to the same period last year was primarily due to an increase in nondeductible compensation and a decrease in tax benefits from discrete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$35.4 million in the six months ended June 30, 2026, an increase of $10.4 million compared to the same period last year. The effective tax rate for the six months ended June 30, 2026 was 22.6%, an increase from 21.4% for the same period last year. The higher effective tax rate for the six months ended June 30, 2026 compared to the same period last year was primarily due to an increase in nondeductible compensation, a decrease in tax benefits from discrete items, and a decrease in tax exempt income.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Analysis of Unaudited Statements of Condition</w:t>
      </w:r>
    </w:p>
    <w:p>
      <w:pPr>
        <w:pStyle w:val="TextBody"/>
        <w:bidi w:val="0"/>
        <w:spacing w:lineRule="auto" w:line="276"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$452.8 million as of June 30, 2026, a decrease of $493.7 million or 52.2% from the prior year. The decrease was primarily due to a net decrease in deposits and loan growth during the period.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carrying value of our investment securities portfolio was $7.7 billion and $7.8 billion as of June 30, 2026 and December 31, 2025, respectively. The decrease was primarily due to portfolio runoff, including maturities and paydowns, partially offset by the purchase of $445.4 million in available-for-sale investment securities during the six months ended June 30,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held-to-maturity (“HTM”) investment categories.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by Ginnie Mae, Fannie Mae, and Freddie Mac represent the largest concentration in our portfolio. As of June 30, 2026, the issuers of these securities carry credit ratings equivalent to those of the U.S. Government, reflecting the explicit and/or implicit guarantees provided.</w:t>
      </w:r>
    </w:p>
    <w:p>
      <w:pPr>
        <w:pStyle w:val="TextBody"/>
        <w:bidi w:val="0"/>
        <w:spacing w:lineRule="auto" w:line="288" w:before="0" w:after="200"/>
        <w:jc w:val="left"/>
        <w:rPr/>
      </w:pPr>
      <w:r>
        <w:rPr>
          <w:rFonts w:ascii="Times New Roman;serif" w:hAnsi="Times New Roman;serif"/>
          <w:b w:val="false"/>
          <w:color w:val="000000"/>
          <w:sz w:val="20"/>
        </w:rPr>
        <w:t xml:space="preserve">Net unrealized losses in our AFS and HTM investment securities were $784.7 million as of June 30, 2026 and $739.8 million as of December 31, 2025. In addition, we transferred AFS investment securities to the HTM category in 2022. At the time of transfer, these securities had a fair value of $1.3 billion. The unrealized losses at the time of transfer remain in accumulated other comprehensive income and are amortized over the estimated remaining life of the securities through an adjustment to the effective yield of the HTM portfolio. The unamortized balance of these losses was $144.4 million and $155.0 million as of June 30, 2026 and December 31, 2025, respectively. See Note 7 </w:t>
      </w:r>
      <w:r>
        <w:rPr>
          <w:rFonts w:ascii="Times New Roman;serif" w:hAnsi="Times New Roman;serif"/>
          <w:b w:val="false"/>
          <w:i/>
          <w:color w:val="000000"/>
          <w:sz w:val="20"/>
        </w:rPr>
        <w:t xml:space="preserve">Accumulated Other Comprehensive Income </w:t>
      </w:r>
      <w:r>
        <w:rPr>
          <w:rFonts w:ascii="Times New Roman;serif" w:hAnsi="Times New Roman;serif"/>
          <w:b w:val="false"/>
          <w:color w:val="000000"/>
          <w:sz w:val="20"/>
        </w:rPr>
        <w:t>to the unaudited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Loans and Leases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6 presents the composition of our loan and lease portfolio by major categories.</w:t>
      </w:r>
    </w:p>
    <w:tbl>
      <w:tblPr>
        <w:tblW w:w="8995" w:type="dxa"/>
        <w:jc w:val="left"/>
        <w:tblInd w:w="0" w:type="dxa"/>
        <w:tblLayout w:type="fixed"/>
        <w:tblCellMar>
          <w:top w:w="28" w:type="dxa"/>
          <w:left w:w="28" w:type="dxa"/>
          <w:bottom w:w="28" w:type="dxa"/>
          <w:right w:w="28" w:type="dxa"/>
        </w:tblCellMar>
      </w:tblPr>
      <w:tblGrid>
        <w:gridCol w:w="1004"/>
        <w:gridCol w:w="882"/>
        <w:gridCol w:w="889"/>
        <w:gridCol w:w="196"/>
        <w:gridCol w:w="961"/>
        <w:gridCol w:w="109"/>
        <w:gridCol w:w="109"/>
        <w:gridCol w:w="109"/>
        <w:gridCol w:w="109"/>
        <w:gridCol w:w="232"/>
        <w:gridCol w:w="1139"/>
        <w:gridCol w:w="129"/>
        <w:gridCol w:w="109"/>
        <w:gridCol w:w="109"/>
        <w:gridCol w:w="109"/>
        <w:gridCol w:w="220"/>
        <w:gridCol w:w="827"/>
        <w:gridCol w:w="122"/>
        <w:gridCol w:w="109"/>
        <w:gridCol w:w="109"/>
        <w:gridCol w:w="109"/>
        <w:gridCol w:w="272"/>
        <w:gridCol w:w="272"/>
        <w:gridCol w:w="760"/>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 and Lease Portfolio Balances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Table 6</w:t>
            </w:r>
          </w:p>
        </w:tc>
      </w:tr>
      <w:tr>
        <w:trPr/>
        <w:tc>
          <w:tcPr>
            <w:tcW w:w="27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158,675 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8,041,027 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45,900 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14,286,625 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204,575 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loans and leases as of June 30, 2026 increased by $204.6 million or 1.5% from December 31, 2025, due to growth in both our commercial and consumer loans.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loans and leases as of June 30, 2026 increased by $158.7 million or 2.6% from December 31, 2025. The increase was primarily due to growth in our commercial mortgage and commercial and industrial portfolios, which increased by $113.4 million or 2.7% and $92.3 million or 5.8%, respectively. This increase was partially offset by a decrease in our construction portfolio, which decreased by $44.1 million or 21.1%, primarily due to the completion of several construction projects during the second quarter. Consumer loans and leases as of June 30, 2026 increased by $45.9 million or 0.6% from December 31, 2025, primarily due to growth in our residential mortgage portfolio, which increased by $89.4 million or 1.9%, largely attributable to condominium project lending. This was partially offset by paydowns in our home equity and automobile loans portfolios.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7 presents an additional breakdown of the Company’s commercial mortgage portfolio.</w:t>
      </w:r>
    </w:p>
    <w:tbl>
      <w:tblPr>
        <w:tblW w:w="10205" w:type="dxa"/>
        <w:jc w:val="left"/>
        <w:tblInd w:w="0" w:type="dxa"/>
        <w:tblLayout w:type="fixed"/>
        <w:tblCellMar>
          <w:top w:w="28" w:type="dxa"/>
          <w:left w:w="28" w:type="dxa"/>
          <w:bottom w:w="28" w:type="dxa"/>
          <w:right w:w="28" w:type="dxa"/>
        </w:tblCellMar>
      </w:tblPr>
      <w:tblGrid>
        <w:gridCol w:w="736"/>
        <w:gridCol w:w="581"/>
        <w:gridCol w:w="583"/>
        <w:gridCol w:w="308"/>
        <w:gridCol w:w="1370"/>
        <w:gridCol w:w="171"/>
        <w:gridCol w:w="287"/>
        <w:gridCol w:w="251"/>
        <w:gridCol w:w="592"/>
        <w:gridCol w:w="310"/>
        <w:gridCol w:w="300"/>
        <w:gridCol w:w="708"/>
        <w:gridCol w:w="109"/>
        <w:gridCol w:w="109"/>
        <w:gridCol w:w="109"/>
        <w:gridCol w:w="196"/>
        <w:gridCol w:w="871"/>
        <w:gridCol w:w="109"/>
        <w:gridCol w:w="287"/>
        <w:gridCol w:w="251"/>
        <w:gridCol w:w="592"/>
        <w:gridCol w:w="297"/>
        <w:gridCol w:w="282"/>
        <w:gridCol w:w="796"/>
      </w:tblGrid>
      <w:tr>
        <w:trPr/>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Mortgage Breakdown</w:t>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7</w:t>
            </w:r>
          </w:p>
        </w:tc>
      </w:tr>
      <w:tr>
        <w:trPr/>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Owner Occupied</w:t>
            </w:r>
          </w:p>
        </w:tc>
      </w:tr>
      <w:tr>
        <w:trPr/>
        <w:tc>
          <w:tcPr>
            <w:tcW w:w="1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1,183,643 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824,694</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776,260</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755,910</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696,492</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Lodging</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624,846</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649,196</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315,887</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336,144</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614,241</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544,548</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Commercial Mortgage</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4,319,221 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Amount includes unamortized loan origination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Table 8 presents the geographic distribution of our loan and lease portfolio.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46"/>
        <w:gridCol w:w="272"/>
        <w:gridCol w:w="644"/>
        <w:gridCol w:w="109"/>
        <w:gridCol w:w="109"/>
        <w:gridCol w:w="109"/>
        <w:gridCol w:w="393"/>
        <w:gridCol w:w="259"/>
        <w:gridCol w:w="532"/>
        <w:gridCol w:w="109"/>
        <w:gridCol w:w="109"/>
        <w:gridCol w:w="109"/>
        <w:gridCol w:w="204"/>
        <w:gridCol w:w="204"/>
        <w:gridCol w:w="487"/>
        <w:gridCol w:w="109"/>
        <w:gridCol w:w="109"/>
        <w:gridCol w:w="109"/>
        <w:gridCol w:w="439"/>
        <w:gridCol w:w="314"/>
        <w:gridCol w:w="576"/>
        <w:gridCol w:w="109"/>
        <w:gridCol w:w="109"/>
        <w:gridCol w:w="109"/>
        <w:gridCol w:w="216"/>
        <w:gridCol w:w="254"/>
        <w:gridCol w:w="71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Geographic Distribution of Loan and Lease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Table 8</w:t>
            </w:r>
          </w:p>
        </w:tc>
      </w:tr>
      <w:tr>
        <w:trPr/>
        <w:tc>
          <w:tcPr>
            <w:tcW w:w="2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Hawai‘i</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U.S. Mainland </w:t>
            </w:r>
            <w:r>
              <w:rPr>
                <w:rFonts w:ascii="Times New Roman;serif" w:hAnsi="Times New Roman;serif"/>
                <w:b/>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Guam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Pacific Islands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3,942,647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206,704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169,454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4,319,221</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1,456,051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1,676,535</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164,504</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85,338</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5,647,254</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342,931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231,923</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23,490</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6,245,598</w:t>
            </w:r>
          </w:p>
        </w:tc>
      </w:tr>
      <w:tr>
        <w:trPr/>
        <w:tc>
          <w:tcPr>
            <w:tcW w:w="2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4,788,255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4,864,875</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2,079,127</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538,099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674,899</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422,126</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7,723,341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5,382</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277,085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35,219</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8,041,027</w:t>
            </w:r>
          </w:p>
        </w:tc>
      </w:tr>
      <w:tr>
        <w:trPr/>
        <w:tc>
          <w:tcPr>
            <w:tcW w:w="2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13,370,595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348,313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509,008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58,709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14,286,625</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Percentage of Total Loans and Leases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6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5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3,788,244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244,812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5,455,322</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380,375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236,089</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15,137</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w:t>
            </w:r>
          </w:p>
        </w:tc>
      </w:tr>
      <w:tr>
        <w:trPr/>
        <w:tc>
          <w:tcPr>
            <w:tcW w:w="2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4,699,089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548,585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w:t>
            </w:r>
          </w:p>
        </w:tc>
      </w:tr>
      <w:tr>
        <w:trPr/>
        <w:tc>
          <w:tcPr>
            <w:tcW w:w="28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7,676,110</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281,407</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32,185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w:t>
            </w:r>
          </w:p>
        </w:tc>
      </w:tr>
      <w:tr>
        <w:trPr/>
        <w:tc>
          <w:tcPr>
            <w:tcW w:w="2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13,131,432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385,800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517,496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w:t>
            </w:r>
          </w:p>
        </w:tc>
      </w:tr>
      <w:tr>
        <w:trPr/>
        <w:tc>
          <w:tcPr>
            <w:tcW w:w="2819"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Percentage of Total Loans and Leases</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64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3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5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For secured loans and leases, classification is made based on where the collateral is located. For unsecured loans and leases, classification is made based on the location where the majority of the borrower’s business operations are conducted.</w:t>
      </w:r>
    </w:p>
    <w:p>
      <w:pPr>
        <w:pStyle w:val="TextBody"/>
        <w:bidi w:val="0"/>
        <w:spacing w:before="0" w:after="0"/>
        <w:ind w:left="0" w:right="0" w:hanging="9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Other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9 presents the major components of other assets.</w:t>
      </w:r>
    </w:p>
    <w:tbl>
      <w:tblPr>
        <w:tblW w:w="9915" w:type="dxa"/>
        <w:jc w:val="left"/>
        <w:tblInd w:w="0" w:type="dxa"/>
        <w:tblLayout w:type="fixed"/>
        <w:tblCellMar>
          <w:top w:w="28" w:type="dxa"/>
          <w:left w:w="28" w:type="dxa"/>
          <w:bottom w:w="28" w:type="dxa"/>
          <w:right w:w="28" w:type="dxa"/>
        </w:tblCellMar>
      </w:tblPr>
      <w:tblGrid>
        <w:gridCol w:w="1272"/>
        <w:gridCol w:w="1115"/>
        <w:gridCol w:w="1122"/>
        <w:gridCol w:w="109"/>
        <w:gridCol w:w="109"/>
        <w:gridCol w:w="109"/>
        <w:gridCol w:w="212"/>
        <w:gridCol w:w="796"/>
        <w:gridCol w:w="117"/>
        <w:gridCol w:w="109"/>
        <w:gridCol w:w="109"/>
        <w:gridCol w:w="109"/>
        <w:gridCol w:w="282"/>
        <w:gridCol w:w="1061"/>
        <w:gridCol w:w="157"/>
        <w:gridCol w:w="109"/>
        <w:gridCol w:w="109"/>
        <w:gridCol w:w="109"/>
        <w:gridCol w:w="223"/>
        <w:gridCol w:w="822"/>
        <w:gridCol w:w="124"/>
        <w:gridCol w:w="109"/>
        <w:gridCol w:w="109"/>
        <w:gridCol w:w="109"/>
        <w:gridCol w:w="272"/>
        <w:gridCol w:w="272"/>
        <w:gridCol w:w="760"/>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Table 9</w:t>
            </w:r>
          </w:p>
        </w:tc>
      </w:tr>
      <w:tr>
        <w:trPr/>
        <w:tc>
          <w:tcPr>
            <w:tcW w:w="35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Low-Income Housing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205,926 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and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of Des Moines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Foreclosed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Assets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620,344 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632,021 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(11,677)</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Low-income housing investments decreased by $18.8 million or 8% due to the amortization of existing investments. Derivative financial instruments increased by $9.5 million or 10%, primarily due to increasing fair values of our interest rate swaps impacted by prevailing interest rates. Deferred compensation plan assets decreased by $3.2 million or 20%, primarily due to distributions from the executive deferred compensation plan during the six months ended June 30, 2026.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10 presents the composition of our deposits by major customer categories.</w:t>
      </w:r>
    </w:p>
    <w:tbl>
      <w:tblPr>
        <w:tblW w:w="8167" w:type="dxa"/>
        <w:jc w:val="left"/>
        <w:tblInd w:w="0" w:type="dxa"/>
        <w:tblLayout w:type="fixed"/>
        <w:tblCellMar>
          <w:top w:w="28" w:type="dxa"/>
          <w:left w:w="28" w:type="dxa"/>
          <w:bottom w:w="28" w:type="dxa"/>
          <w:right w:w="28" w:type="dxa"/>
        </w:tblCellMar>
      </w:tblPr>
      <w:tblGrid>
        <w:gridCol w:w="585"/>
        <w:gridCol w:w="513"/>
        <w:gridCol w:w="521"/>
        <w:gridCol w:w="109"/>
        <w:gridCol w:w="109"/>
        <w:gridCol w:w="109"/>
        <w:gridCol w:w="196"/>
        <w:gridCol w:w="961"/>
        <w:gridCol w:w="109"/>
        <w:gridCol w:w="109"/>
        <w:gridCol w:w="109"/>
        <w:gridCol w:w="109"/>
        <w:gridCol w:w="232"/>
        <w:gridCol w:w="1139"/>
        <w:gridCol w:w="129"/>
        <w:gridCol w:w="109"/>
        <w:gridCol w:w="109"/>
        <w:gridCol w:w="109"/>
        <w:gridCol w:w="205"/>
        <w:gridCol w:w="850"/>
        <w:gridCol w:w="114"/>
        <w:gridCol w:w="109"/>
        <w:gridCol w:w="109"/>
        <w:gridCol w:w="109"/>
        <w:gridCol w:w="274"/>
        <w:gridCol w:w="274"/>
        <w:gridCol w:w="757"/>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10</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10,454,082 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10,466,617 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8,597,265 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Public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2,124,613 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Deposits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20,892,775 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21,188,495 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(295,720)</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deposits were $20.9 billion as of June 30, 2026, a decrease of $295.7 million or 1.4% from December 31, 2025. Consumer deposits decreased by $12.5 million due to decreases of $90.6 million in time deposits and $53.6 million in interest-bearing demand deposits, partially offset by increases of $101.8 million in savings deposits and $29.9 million in noninterest-bearing deposits. Commercial deposits decreased by $430.0 million due to decreases of $220.0 million in savings deposits, $203.6 million in noninterest-bearing deposits, and $12.0 million in time deposits, partially offset by an increase of $5.6 million in interest-bearing demand deposits. Public and other deposits increased by $146.8 million due to increases of $212.7 million in interest-bearing demand deposits and $82.3 million in savings deposits, partially offset by a decrease of $148.2 million in time deposits and noninterest-bearing deposits.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11 presents the composition of our savings deposits.</w:t>
      </w:r>
    </w:p>
    <w:tbl>
      <w:tblPr>
        <w:tblW w:w="8332"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196"/>
        <w:gridCol w:w="871"/>
        <w:gridCol w:w="109"/>
        <w:gridCol w:w="109"/>
        <w:gridCol w:w="109"/>
        <w:gridCol w:w="109"/>
        <w:gridCol w:w="250"/>
        <w:gridCol w:w="1111"/>
        <w:gridCol w:w="139"/>
        <w:gridCol w:w="109"/>
        <w:gridCol w:w="109"/>
        <w:gridCol w:w="109"/>
        <w:gridCol w:w="223"/>
        <w:gridCol w:w="822"/>
        <w:gridCol w:w="124"/>
        <w:gridCol w:w="109"/>
        <w:gridCol w:w="109"/>
        <w:gridCol w:w="109"/>
        <w:gridCol w:w="274"/>
        <w:gridCol w:w="274"/>
        <w:gridCol w:w="757"/>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Savings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11</w:t>
            </w:r>
          </w:p>
        </w:tc>
      </w:tr>
      <w:tr>
        <w:trPr/>
        <w:tc>
          <w:tcPr>
            <w:tcW w:w="1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Regular Savings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5,589,021 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5,383,975 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205,046 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3,357,115 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Savings Deposits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8,705,102 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8,741,090 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(35,988)</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Regular Savings was primarily due to increases in consumer deposits of $112.6 million, commercial deposits of $10.2 million, and public deposits of $82.3 million. The decrease in Money Market was primarily due to decreases in commercial deposits of $230.2 million and consumer deposits of $10.8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12 presents the maturity distribution of the estimated uninsured time deposits.</w:t>
      </w:r>
    </w:p>
    <w:tbl>
      <w:tblPr>
        <w:tblW w:w="9677" w:type="dxa"/>
        <w:jc w:val="left"/>
        <w:tblInd w:w="0" w:type="dxa"/>
        <w:tblLayout w:type="fixed"/>
        <w:tblCellMar>
          <w:top w:w="28" w:type="dxa"/>
          <w:left w:w="28" w:type="dxa"/>
          <w:bottom w:w="28" w:type="dxa"/>
          <w:right w:w="28" w:type="dxa"/>
        </w:tblCellMar>
      </w:tblPr>
      <w:tblGrid>
        <w:gridCol w:w="881"/>
        <w:gridCol w:w="774"/>
        <w:gridCol w:w="774"/>
        <w:gridCol w:w="285"/>
        <w:gridCol w:w="285"/>
        <w:gridCol w:w="285"/>
        <w:gridCol w:w="513"/>
        <w:gridCol w:w="2280"/>
        <w:gridCol w:w="285"/>
        <w:gridCol w:w="109"/>
        <w:gridCol w:w="109"/>
        <w:gridCol w:w="109"/>
        <w:gridCol w:w="250"/>
        <w:gridCol w:w="1111"/>
        <w:gridCol w:w="139"/>
        <w:gridCol w:w="109"/>
        <w:gridCol w:w="109"/>
        <w:gridCol w:w="109"/>
        <w:gridCol w:w="196"/>
        <w:gridCol w:w="81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Maturity Distribution of Estimated Uninsured Time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Table 12</w:t>
            </w:r>
          </w:p>
        </w:tc>
      </w:tr>
      <w:tr>
        <w:trPr/>
        <w:tc>
          <w:tcPr>
            <w:tcW w:w="24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maturity:</w:t>
            </w:r>
          </w:p>
        </w:tc>
        <w:tc>
          <w:tcPr>
            <w:tcW w:w="8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or less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523,378 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613,444 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three through six months</w:t>
            </w:r>
          </w:p>
        </w:tc>
        <w:tc>
          <w:tcPr>
            <w:tcW w:w="8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361,550 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396,599 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six through twelve months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298,594 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twelve months</w:t>
            </w:r>
          </w:p>
        </w:tc>
        <w:tc>
          <w:tcPr>
            <w:tcW w:w="8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19,330 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86,151 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(66,821)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85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1,202,852 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1,417,132 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(214,280)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Uninsured amounts are estimated based on the portion of account balances in excess of FDIC insurance limits.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Securities Sold Under Agreements to Repurchase</w: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val="false"/>
          <w:color w:val="000000"/>
          <w:sz w:val="20"/>
        </w:rPr>
        <w:t xml:space="preserve">Securities sold under agreements to repurchase were $50.0 million as of both June 30, 2026 and December 31, 2025. As of June 30, 2026, our remaining repurchase agreement was at a fixed interest rate of 3.89% with a remaining maturity of 3.38 years. Our repurchase agreement was accounted for as a collateralized financing arrangement (i.e., a secured borrowing) and not as a sale and subsequent repurchase of securities. Our remaining repurchase agreement with a private institution may be terminated at earlier specified dates by either the private institution or the Company. See Note 6 </w:t>
      </w:r>
      <w:r>
        <w:rPr>
          <w:rFonts w:ascii="Times New Roman;serif" w:hAnsi="Times New Roman;serif"/>
          <w:b w:val="false"/>
          <w:i/>
          <w:color w:val="000000"/>
          <w:sz w:val="20"/>
        </w:rPr>
        <w:t>Securities Sold Under Agreements to Repurchase</w:t>
      </w:r>
      <w:r>
        <w:rPr>
          <w:color w:val="000000"/>
        </w:rPr>
        <w:t xml:space="preserve"> </w:t>
      </w:r>
      <w:r>
        <w:rPr>
          <w:rFonts w:ascii="Times New Roman;serif" w:hAnsi="Times New Roman;serif"/>
          <w:b w:val="false"/>
          <w:color w:val="000000"/>
          <w:sz w:val="20"/>
        </w:rPr>
        <w:t>to the unaudited Consolidated Financial Statements for more information.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Other Debt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13 presents the composition of our other debt.</w:t>
      </w:r>
    </w:p>
    <w:tbl>
      <w:tblPr>
        <w:tblW w:w="8629" w:type="dxa"/>
        <w:jc w:val="left"/>
        <w:tblInd w:w="0" w:type="dxa"/>
        <w:tblLayout w:type="fixed"/>
        <w:tblCellMar>
          <w:top w:w="28" w:type="dxa"/>
          <w:left w:w="28" w:type="dxa"/>
          <w:bottom w:w="28" w:type="dxa"/>
          <w:right w:w="28" w:type="dxa"/>
        </w:tblCellMar>
      </w:tblPr>
      <w:tblGrid>
        <w:gridCol w:w="1380"/>
        <w:gridCol w:w="1209"/>
        <w:gridCol w:w="1220"/>
        <w:gridCol w:w="109"/>
        <w:gridCol w:w="109"/>
        <w:gridCol w:w="109"/>
        <w:gridCol w:w="212"/>
        <w:gridCol w:w="796"/>
        <w:gridCol w:w="117"/>
        <w:gridCol w:w="109"/>
        <w:gridCol w:w="109"/>
        <w:gridCol w:w="109"/>
        <w:gridCol w:w="282"/>
        <w:gridCol w:w="1061"/>
        <w:gridCol w:w="157"/>
        <w:gridCol w:w="109"/>
        <w:gridCol w:w="109"/>
        <w:gridCol w:w="109"/>
        <w:gridCol w:w="222"/>
        <w:gridCol w:w="818"/>
        <w:gridCol w:w="174"/>
      </w:tblGrid>
      <w:tr>
        <w:trPr/>
        <w:tc>
          <w:tcPr>
            <w:tcW w:w="138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Table 13</w:t>
            </w:r>
          </w:p>
        </w:tc>
      </w:tr>
      <w:tr>
        <w:trPr/>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r>
      <w:tr>
        <w:trPr/>
        <w:tc>
          <w:tcPr>
            <w:tcW w:w="3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of Des Moines Advances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508,124 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558,176 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(50,052)</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Analysis of Business 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business segments are defined as Consumer Banking, Commercial Banking, and Treasury and Other.</w:t>
      </w:r>
    </w:p>
    <w:p>
      <w:pPr>
        <w:pStyle w:val="TextBody"/>
        <w:bidi w:val="0"/>
        <w:spacing w:lineRule="auto" w:line="288" w:before="0" w:after="200"/>
        <w:jc w:val="left"/>
        <w:rPr/>
      </w:pPr>
      <w:r>
        <w:rPr>
          <w:rFonts w:ascii="Times New Roman;serif" w:hAnsi="Times New Roman;serif"/>
          <w:b w:val="false"/>
          <w:color w:val="000000"/>
          <w:sz w:val="20"/>
        </w:rPr>
        <w:t xml:space="preserve">Table 14 summarizes net income (loss) from our business segments. Additional information about segment performance is presented in Note 9 </w:t>
      </w:r>
      <w:r>
        <w:rPr>
          <w:rFonts w:ascii="Times New Roman;serif" w:hAnsi="Times New Roman;serif"/>
          <w:b w:val="false"/>
          <w:i/>
          <w:color w:val="000000"/>
          <w:sz w:val="20"/>
        </w:rPr>
        <w:t>Business Segments</w:t>
      </w:r>
      <w:r>
        <w:rPr>
          <w:color w:val="0094FF"/>
        </w:rPr>
        <w:t xml:space="preserve"> </w:t>
      </w:r>
      <w:r>
        <w:rPr>
          <w:rFonts w:ascii="Times New Roman;serif" w:hAnsi="Times New Roman;serif"/>
          <w:b w:val="false"/>
          <w:color w:val="000000"/>
          <w:sz w:val="20"/>
        </w:rPr>
        <w:t>to the unaudited Consolidated Financial Statements.</w:t>
      </w:r>
    </w:p>
    <w:tbl>
      <w:tblPr>
        <w:tblW w:w="11208" w:type="dxa"/>
        <w:jc w:val="left"/>
        <w:tblInd w:w="0" w:type="dxa"/>
        <w:tblLayout w:type="fixed"/>
        <w:tblCellMar>
          <w:top w:w="28" w:type="dxa"/>
          <w:left w:w="28" w:type="dxa"/>
          <w:bottom w:w="28" w:type="dxa"/>
          <w:right w:w="28" w:type="dxa"/>
        </w:tblCellMar>
      </w:tblPr>
      <w:tblGrid>
        <w:gridCol w:w="587"/>
        <w:gridCol w:w="295"/>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89"/>
        <w:gridCol w:w="177"/>
        <w:gridCol w:w="357"/>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4"/>
        <w:gridCol w:w="192"/>
        <w:gridCol w:w="366"/>
      </w:tblGrid>
      <w:tr>
        <w:trPr/>
        <w:tc>
          <w:tcPr>
            <w:tcW w:w="5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6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Business Segment Net Income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14</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14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Banking</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38,259 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3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70,159 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59,189 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60,431 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146,684 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121,572 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25,112 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3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Total</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63,799 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47,637 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16,162 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3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121,231 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91,622 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3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Consumer Banking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increased by $8.5 million or 29% in the second quarter of 2026 compared to the same period last year, primarily due to increases in net interest income and in noninterest income, partially offset by increases in noninterest expense and in the provision for credit losses. Net interest income increased by $14.4 million or 15%, primarily due to higher deposit spreads on higher deposit balances. Noninterest income increased by $2.2 million or 6%, primarily due to higher trust and asset management fees and higher annuity and insurance fees. Noninterest expense increased by $4.2 million or 5%, primarily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higher allocated administrative and support unit costs and higher salaries &amp; benefits expense. The provision for credit losses increased by $0.8 million or 30%, primarily due to higher net charge-offs in the auto loan, installment loan, and home equity portfolios.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increased by $11.0 million or 19% in the first six months of 2026 compared to the same period last year, primarily due to increases in net interest income and in noninterest income, partially offset by an increase in noninterest expense. Net interest income increased by $25.0 million or 12%, primarily due to higher deposit spreads on higher deposit balances. Noninterest income increased by $2.1 million or 3% primarily due to higher trust and asset management fees, overdraft fees, and annuity and insurance fees. This was partially offset by lower credit card commissions and lower debit card income. Noninterest expense increased by $12.1 million or 7%, primarily due to higher salaries &amp; benefits expense, mobile and online banking platform costs, operational losses, card production costs, and allocated administrative and support unit costs.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Commercial Banking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increased by $6.8 million or 22% in the second quarter of 2026 compared to the same period last year, primarily due to an increase in net interest income and a decrease in noninterest expense, partially offset by a decrease in noninterest income. Net interest income increased by $8.6 million or 16%, primarily due to higher average deposit balances and spreads, which increased segment net interest income under our funds transfer pricing methodology. Noninterest income decreased by $2.2 million or 36%, primarily due to a reduction in merchant revenue following the sale of the Bank’s merchant services portfolio in the fourth quarter of 2025, partially offset by increased loan commitment fees and gains on the sale of leased assets. Noninterest expense decreased by $2.9 million or 15%, primarily due to lower merchant transaction processing fees, salaries &amp; benefits, professional fees, and allocated administrative, support unit and treasury expenses, partially offset by increases in data processing, excise taxes, and customer derivative broker charges.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increased by $14.1 million or 23% in the first six months of 2026 compared to the same period last year, primarily due to an increase in net interest income and a decrease in noninterest expense, partially offset by a decrease in noninterest income. Net interest income increased by $16.7 million or 13%, primarily due to higher average deposit balances and spreads on interest-bearing and savings deposits, which increased segment net interest income under our funds transfer pricing methodology, partially offset by a decline in time deposits. Noninterest income decreased by $5.7 million or 41%, primarily due to a reduction in merchant revenue following the sale of the Bank’s merchant services portfolio in the fourth quarter of 2025, partially offset by increased customer derivative program revenue. Noninterest expense decreased by $5.8 million or 15%, primarily due to lower merchant transaction processing fees, salaries &amp; benefits, professional fees, and allocated administrative, support unit and treasury expenses, partially offset by increases in data processing, excise taxes, and customer derivative broker charges.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Treasury and Other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loss decreased by $0.9 million or 7% in the second quarter of 2026 compared to the same period last year, primarily due to a decrease in net interest expense, a decrease in the provision for credit losses, and a decrease in noninterest expense, partially offset by a decrease in noninterest income. Net interest expense decreased by $1.0 million or 5%, primarily due to an increase in interest income from higher earning asset balances and yields. Noninterest income decreased by $1.5 million or 31%, primarily due to decreases in other income. Noninterest expense decreased by $0.9 million or 19%, primarily due to decreases in other noninterest expense, partially offset by an increase in salaries &amp; benefits expense. The provision for credit losses and income taxes in this business segment represents the residual amounts to arrive at the total amount for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decreased by $4.5 million or 15% in the first six months of 2026 compared to the same period last year, primarily due to a decrease in net interest expense and a decrease in noninterest expense, partially offset by an increase in the provision for credit losses. Net interest expense decreased by $7.4 million or 20%, primarily due to an increase in interest income from higher earning asset balances and yields. Noninterest expense decreased by $0.3 million or 4%, primarily due to decreases in other noninterest expense, partially offset by an increase in salaries &amp; benefits expense. The provision for credit losses and income taxes in this business segment represents the residual amounts to arrive at the total amount for the Company.</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Corporate Risk Profile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frequent loan and lease-level risk monitoring and risk rating reviews, which provide opportunities for early interventions to allow for credit exits or restructuring, loan and lease sales, and voluntary workouts and liquidations.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Non-Performing Assets and Accruing Loans and Leases Past Due 90 Days or More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15 presents information on NPAs and accruing loans and leases past due 90 days or more.</w:t>
      </w:r>
    </w:p>
    <w:tbl>
      <w:tblPr>
        <w:tblW w:w="10205" w:type="dxa"/>
        <w:jc w:val="left"/>
        <w:tblInd w:w="0" w:type="dxa"/>
        <w:tblLayout w:type="fixed"/>
        <w:tblCellMar>
          <w:top w:w="28" w:type="dxa"/>
          <w:left w:w="28" w:type="dxa"/>
          <w:bottom w:w="28" w:type="dxa"/>
          <w:right w:w="28" w:type="dxa"/>
        </w:tblCellMar>
      </w:tblPr>
      <w:tblGrid>
        <w:gridCol w:w="1654"/>
        <w:gridCol w:w="1424"/>
        <w:gridCol w:w="1288"/>
        <w:gridCol w:w="135"/>
        <w:gridCol w:w="135"/>
        <w:gridCol w:w="135"/>
        <w:gridCol w:w="243"/>
        <w:gridCol w:w="1196"/>
        <w:gridCol w:w="299"/>
        <w:gridCol w:w="135"/>
        <w:gridCol w:w="135"/>
        <w:gridCol w:w="135"/>
        <w:gridCol w:w="243"/>
        <w:gridCol w:w="1196"/>
        <w:gridCol w:w="299"/>
        <w:gridCol w:w="109"/>
        <w:gridCol w:w="109"/>
        <w:gridCol w:w="109"/>
        <w:gridCol w:w="196"/>
        <w:gridCol w:w="736"/>
        <w:gridCol w:w="294"/>
      </w:tblGrid>
      <w:tr>
        <w:trPr/>
        <w:tc>
          <w:tcPr>
            <w:tcW w:w="165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652"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Non-Performing Assets and Accruing Loans and Leases Past Due 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15</w:t>
            </w:r>
          </w:p>
        </w:tc>
      </w:tr>
      <w:tr>
        <w:trPr/>
        <w:tc>
          <w:tcPr>
            <w:tcW w:w="4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Non-Performing Assets</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Non-Accrual Loans and Leases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Mortgage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and Industrial</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1,940 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Commercial</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1,734 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4,025 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(2,291)</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Consumer</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Mortgage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5,348 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5,382 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Home Equity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4,225 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4,469 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Consumer</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9,573 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9,851 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(278)</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Non-Accrual Loans and Leases</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11,307 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13,876 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(2,569)</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Foreclosed Real Estate</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(124)</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Non-Performing Assets</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11,478 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14,171 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(2,693)</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Accruing Loans and Leases Past Due 90 Days or More</w:t>
            </w:r>
          </w:p>
        </w:tc>
        <w:tc>
          <w:tcPr>
            <w:tcW w:w="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Consumer</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Residential Mortgage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8,887 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8,834 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Home Equity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3,503 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Automobile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Total Consumer </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14,118 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12,259 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1,859 </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Accruing Loans and Leases Past Due 90 Days or More</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14,118 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12,259 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1,859 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Loans and Leases</w:t>
            </w:r>
          </w:p>
        </w:tc>
        <w:tc>
          <w:tcPr>
            <w:tcW w:w="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14,286,625 </w:t>
            </w:r>
          </w:p>
        </w:tc>
        <w:tc>
          <w:tcPr>
            <w:tcW w:w="2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14,082,050 </w:t>
            </w:r>
          </w:p>
        </w:tc>
        <w:tc>
          <w:tcPr>
            <w:tcW w:w="2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204,575 </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Non-Accrual Loans and Leases to Total Loans and Leases</w:t>
            </w:r>
          </w:p>
        </w:tc>
        <w:tc>
          <w:tcPr>
            <w:tcW w:w="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2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0.10 </w:t>
            </w:r>
          </w:p>
        </w:tc>
        <w:tc>
          <w:tcPr>
            <w:tcW w:w="2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2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Non-Performing Assets to Total Loans and Leases and Foreclosed Real Estate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0.10 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Non-Performing Assets to Total Assets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0.05 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0.06 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Commercial Non-Performing Assets to Total Commercial Loans and Leases and Commercial Foreclosed Real Estate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0.03 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Consumer Non-Performing Assets to Total Consumer Loans and Leases and Consumer Foreclosed Real Estate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Ratio of Non-Performing Assets and Accruing Loans and Leases Past Due 90 Days or More to Total Loans and Leases and Foreclosed Real Estate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0.18 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0.19 </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Changes in Non-Performing Assets</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14,171 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Reductions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(3,070)</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Return to Accrual Status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Charge-offs/Write-downs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(130)</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Reductions</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(3,956)</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40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11,478 </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NPAs consist of non-accrual loans and leases and foreclosed real estate. Changes in the level of non-accrual loans and leases typically are caused by loans and leases that reach a specified past due status, offset by reductions for loans and leases that are charged-off, written down, paid down, sold, transferred to foreclosed real estate, or are no longer classified as non-accrual because they have returned to accrual status.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Non-accrual loans and leases as of June 30, 2026 were $11.3 million, a decrease of $2.6 million or 19% from December 31, 2025 primarily due to a $2.1 million payoff of a commercial mortgage in the first quarter of 2026. As of June 30, 2026, our residential mortgage non-accrual loans were comprised of 20 loans with a weighted average current loan-to-value ratio of 68%. As of June 30, 2026, our home equity non-accrual loans were comprised of 56 loans with a weighted average current loan-to-value ratio of 51%.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$0.2 million as of June 30, 2026 compared to $0.3 million as of December 31, 2025.</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Loans and Leases Past Due 90 Days or More and Still Accruing Interest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Loans and leases past due 90 days or more and still accruing interest were $14.1 million as of June 30, 2026, a $1.9 million or 15% increase from December 31, 2025. The increase was primarily in our home equity portfolio due to an increase in delinquencies. This category includes loans and leases that are well-secured and in the process of collection, as well as loans and leases that have not reached the specified past due status to be placed on non-accrual.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Reserve for Credit Losses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16 presents the activity in our reserve for credit losses.</w:t>
      </w:r>
    </w:p>
    <w:tbl>
      <w:tblPr>
        <w:tblW w:w="10205" w:type="dxa"/>
        <w:jc w:val="left"/>
        <w:tblInd w:w="0" w:type="dxa"/>
        <w:tblLayout w:type="fixed"/>
        <w:tblCellMar>
          <w:top w:w="28" w:type="dxa"/>
          <w:left w:w="28" w:type="dxa"/>
          <w:bottom w:w="28" w:type="dxa"/>
          <w:right w:w="28" w:type="dxa"/>
        </w:tblCellMar>
      </w:tblPr>
      <w:tblGrid>
        <w:gridCol w:w="1322"/>
        <w:gridCol w:w="935"/>
        <w:gridCol w:w="942"/>
        <w:gridCol w:w="109"/>
        <w:gridCol w:w="109"/>
        <w:gridCol w:w="109"/>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196"/>
        <w:gridCol w:w="961"/>
        <w:gridCol w:w="302"/>
      </w:tblGrid>
      <w:tr>
        <w:trPr/>
        <w:tc>
          <w:tcPr>
            <w:tcW w:w="132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Reserve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16</w:t>
            </w:r>
          </w:p>
        </w:tc>
      </w:tr>
      <w:tr>
        <w:trPr/>
        <w:tc>
          <w:tcPr>
            <w:tcW w:w="3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149,496 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150,649 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 Charged-Off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(8,801)</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(9,720)</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Recoveries on Loans and Leases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Charged-Off - Loans and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Provision for Credit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150,128 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Components</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148,543 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Reserve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150,128 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Loans and Leases Outstanding</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14,218,951 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14,049,025 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14,151,786 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14,055,563 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Net Loans and Leases Charged-Off to Average Loans and Leases Outstanding (annualized)</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Ratio of Allowance for Credit Losses to Loans and Leases Outstanding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The numerator comprises the Allowance for Credit Losses - Loans and Leases.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(the “Allowance”)</w:t>
      </w:r>
    </w:p>
    <w:p>
      <w:pPr>
        <w:pStyle w:val="TextBody"/>
        <w:bidi w:val="0"/>
        <w:spacing w:lineRule="auto" w:line="288" w:before="0" w:after="200"/>
        <w:jc w:val="left"/>
        <w:rPr/>
      </w:pPr>
      <w:r>
        <w:rPr>
          <w:rFonts w:ascii="Times New Roman;serif" w:hAnsi="Times New Roman;serif"/>
          <w:b w:val="false"/>
          <w:color w:val="000000"/>
          <w:sz w:val="20"/>
        </w:rPr>
        <w:t>As of June 30, 2026, the Allowance was $147.0 million or 1.03% of total loans and leases outstanding</w:t>
      </w:r>
      <w:r>
        <w:rPr>
          <w:color w:val="EE2724"/>
        </w:rPr>
        <w:t xml:space="preserve"> </w:t>
      </w:r>
      <w:r>
        <w:rPr>
          <w:rFonts w:ascii="Times New Roman;serif" w:hAnsi="Times New Roman;serif"/>
          <w:b w:val="false"/>
          <w:color w:val="000000"/>
          <w:sz w:val="20"/>
        </w:rPr>
        <w:t xml:space="preserve">compared with an Allowance of $146.8 million or 1.04% of total loans and leases outstanding as of December 31,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Net charge-offs on loans and leases for the three and six months ended June 30, 2026 were $3.4 million or 0.10% and $4.5 million or 0.06%, respectively of total average loans and leases on an annualized basis, compared to $2.6 million or 0.07%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 $7.0 million or 0.10% of total average loans and leases on an annualized basis for the three and six months ended June 30, 2025, respectively.</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Reserve for Unfunded Commitments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reserve for unfunded commitments was $2.3 million as of June 30, 2026, an increase of $0.6 million or 39% from December 31, 2025, primarily due to higher unfunded commitments in our commercial and industrial portfolio. The reserve for unfunded commitments is recorded in other liabilities in the unaudited consolidated statements of condition.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0" w:after="0"/>
        <w:jc w:val="left"/>
        <w:rPr/>
      </w:pPr>
      <w:r>
        <w:rPr>
          <w:rFonts w:ascii="Times New Roman;serif" w:hAnsi="Times New Roman;serif"/>
          <w:b w:val="false"/>
          <w:color w:val="000000"/>
          <w:sz w:val="20"/>
        </w:rPr>
        <w:t>For the three and six months ended June 30, 2026</w:t>
      </w:r>
      <w:r>
        <w:rPr>
          <w:rFonts w:ascii="Times New Roman;serif" w:hAnsi="Times New Roman;serif"/>
          <w:b w:val="false"/>
          <w:color w:val="0094FF"/>
          <w:sz w:val="20"/>
        </w:rPr>
        <w:t>,</w:t>
      </w:r>
      <w:r>
        <w:rPr>
          <w:color w:val="000000"/>
        </w:rPr>
        <w:t xml:space="preserve"> </w:t>
      </w:r>
      <w:r>
        <w:rPr>
          <w:rFonts w:ascii="Times New Roman;serif" w:hAnsi="Times New Roman;serif"/>
          <w:b w:val="false"/>
          <w:color w:val="000000"/>
          <w:sz w:val="20"/>
        </w:rPr>
        <w:t>the provision for credit losses was $3.6 million and $5.4 million, respectively, compared to $3.3 million and $6.5 million for the same respective periods last year. The increase in the provision for credit losses for the three months ended June 30, 2026 was primarily due to an increase in the reserve for unfunded commitments. The decrease in the provision for credit losses for the six months ended June 30, 2026 was primarily due to a $1.6 million recovery of a commercial mortgage loan in the first quarter of 2026.</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primary market risk exposure is interest rate risk.</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utilize two management guidelines to measure our interest rate risk exposure: 1) net interest income (“NII”) sensitivity, and 2) economic value of equity (“EVE”) sensitivity. NII and EVE sensitivities measure the estimated percentage change in forward looking net-interest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sensitivities to frame our risk exposures. We pay particular attention to the rate shock sensitivities within the range of +/-200 basis points, as we believe this range represents the highest probability of rate movements that could occur in the near to medium term. As of June 30, 2026, we remained within applicable policy limits for such scenarios.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ALCO, which is comprised of members of executive management, utilizes several techniques to manage interest rate risk, which include:</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adjusting the balance sheet mix or altering the interest rate characteristics of assets and liabilities;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changing product pricing strategies;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modifying characteristics, including mix and duration, of the AFS investment securities portfolio; and</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using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20"/>
        </w:rPr>
        <w:t xml:space="preserve">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 environment. These assets are primarily funded by deposit balances, which generally have an indeterminate life. Historically, our deposit base consists primarily of core consumer and commercial deposit relationships. While we strive to position our 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June 30, 2026,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serif" w:hAnsi="Times New Roman;serif"/>
          <w:b w:val="false"/>
          <w:i/>
          <w:color w:val="000000"/>
          <w:sz w:val="20"/>
        </w:rPr>
        <w:t>Derivative Financial Instruments</w:t>
      </w:r>
      <w:r>
        <w:rPr>
          <w:color w:val="0094FF"/>
        </w:rPr>
        <w:t xml:space="preserve"> </w:t>
      </w:r>
      <w:r>
        <w:rPr>
          <w:rFonts w:ascii="Times New Roman;serif" w:hAnsi="Times New Roman;serif"/>
          <w:b w:val="false"/>
          <w:color w:val="000000"/>
          <w:sz w:val="20"/>
        </w:rPr>
        <w:t>to the unaudited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and deposit account attrition and average lives in various interest rate environments. These models were developed based upon our historical behavior over several interest rate cycles and are periodically updated. The models’ forecast results are tested against historical results and have been and may continue to be recalibrated.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utilize net interest income simulations to analyze short-term income sensitivities to changes in interest rates. Table 17a presents as of June 30, 2026 and December 31, 2025,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tbl>
      <w:tblPr>
        <w:tblW w:w="8967" w:type="dxa"/>
        <w:jc w:val="left"/>
        <w:tblInd w:w="0" w:type="dxa"/>
        <w:tblLayout w:type="fixed"/>
        <w:tblCellMar>
          <w:top w:w="28" w:type="dxa"/>
          <w:left w:w="28" w:type="dxa"/>
          <w:bottom w:w="28" w:type="dxa"/>
          <w:right w:w="28" w:type="dxa"/>
        </w:tblCellMar>
      </w:tblPr>
      <w:tblGrid>
        <w:gridCol w:w="1446"/>
        <w:gridCol w:w="1267"/>
        <w:gridCol w:w="1276"/>
        <w:gridCol w:w="109"/>
        <w:gridCol w:w="109"/>
        <w:gridCol w:w="109"/>
        <w:gridCol w:w="196"/>
        <w:gridCol w:w="556"/>
        <w:gridCol w:w="109"/>
        <w:gridCol w:w="109"/>
        <w:gridCol w:w="109"/>
        <w:gridCol w:w="109"/>
        <w:gridCol w:w="268"/>
        <w:gridCol w:w="272"/>
        <w:gridCol w:w="256"/>
        <w:gridCol w:w="109"/>
        <w:gridCol w:w="109"/>
        <w:gridCol w:w="109"/>
        <w:gridCol w:w="196"/>
        <w:gridCol w:w="646"/>
        <w:gridCol w:w="109"/>
        <w:gridCol w:w="109"/>
        <w:gridCol w:w="109"/>
        <w:gridCol w:w="109"/>
        <w:gridCol w:w="271"/>
        <w:gridCol w:w="269"/>
        <w:gridCol w:w="522"/>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 Sensitivity Profile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17a</w:t>
            </w:r>
          </w:p>
        </w:tc>
      </w:tr>
      <w:tr>
        <w:trPr/>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on Future Annual Net Interest Income</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8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Immediate Change in Interest Rates (basis points)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(74,888)</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56"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(86,935)</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522"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NII sensitivity profile remained relatively balanced for moderate interest rate movements. Compared with December 31, 2025, the balance sheet became less sensitive to both rising and declining rate environments, reflecting a recalibration of assumptions regarding deposit repricing behavior, changes in balance sheet composition, and a reduction in active pay-fixed interest rate swap positions.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Management also evaluates non-parallel yield curve scenarios to assess the impact of changes in the shape of the yield curve on earnings and economic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tbl>
      <w:tblPr>
        <w:tblW w:w="9396" w:type="dxa"/>
        <w:jc w:val="left"/>
        <w:tblInd w:w="0" w:type="dxa"/>
        <w:tblLayout w:type="fixed"/>
        <w:tblCellMar>
          <w:top w:w="28" w:type="dxa"/>
          <w:left w:w="28" w:type="dxa"/>
          <w:bottom w:w="28" w:type="dxa"/>
          <w:right w:w="28" w:type="dxa"/>
        </w:tblCellMar>
      </w:tblPr>
      <w:tblGrid>
        <w:gridCol w:w="1446"/>
        <w:gridCol w:w="1267"/>
        <w:gridCol w:w="1276"/>
        <w:gridCol w:w="109"/>
        <w:gridCol w:w="109"/>
        <w:gridCol w:w="109"/>
        <w:gridCol w:w="196"/>
        <w:gridCol w:w="811"/>
        <w:gridCol w:w="109"/>
        <w:gridCol w:w="109"/>
        <w:gridCol w:w="109"/>
        <w:gridCol w:w="109"/>
        <w:gridCol w:w="269"/>
        <w:gridCol w:w="271"/>
        <w:gridCol w:w="256"/>
        <w:gridCol w:w="109"/>
        <w:gridCol w:w="109"/>
        <w:gridCol w:w="109"/>
        <w:gridCol w:w="196"/>
        <w:gridCol w:w="811"/>
        <w:gridCol w:w="109"/>
        <w:gridCol w:w="109"/>
        <w:gridCol w:w="109"/>
        <w:gridCol w:w="109"/>
        <w:gridCol w:w="269"/>
        <w:gridCol w:w="271"/>
        <w:gridCol w:w="531"/>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Economic Value of Equity Sensitivity Profile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17b</w:t>
            </w:r>
          </w:p>
        </w:tc>
      </w:tr>
      <w:tr>
        <w:trPr/>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on Economic Value of Equity</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8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Immediate Change in Interest Rates (basis points)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(546,425)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(519,819)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418,210 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356,504 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84,263 </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106,004 </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31"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Compared to December 31, 2025, EVE sensitivity remained generally consistent, as changes in balance sheet composition and derivatives activity had only a modest impact on the long-term valuation profile of the balance sheet.</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Other Market Risks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Risk Management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maintain access to ample sources of readily available contingent liquidity. As of June 30, 2026, we had pledged loans and investment securities to the Federal Reserve Discount Window and had remaining borrowing capacity of $7.7 billion. We are also a member of the FHLB. As of June 30, 2026, we had pledged loans to the FHLB and had remaining borrowing capacity of $2.4 billion.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June 30, 2026, we believe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sufficient access to various forms of liquidity that would alleviate the need to liquidate these investment securities and realize the losses.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continued our focus on maintaining a strong liquidity position. As of June 30, 2026, cash and cash equivalents were $452.8 million, the carrying value of our AFS investment securities was $3.6 billion, and total deposits were $20.9 billion. As of June 30, 2026, our AFS investment securities portfolio was comprised of securities with an average base duration of approximately 3.20 years, excluding the impact from our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Capital Management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regulations intended to ensure capital adequacy. As of June 30, 2026, the Company’s capital levels remained characterized as “well-capitalized.” There have been no conditions or events since June 30, 2026, that management believes have changed either the Company’s or the Bank’s capital classifications. The Company’s regulatory capital ratios are presented in Table 18 below.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Table 18 presents our regulatory capital and ratios as of June 30, 2026 and December 31, 2025.</w:t>
      </w:r>
    </w:p>
    <w:tbl>
      <w:tblPr>
        <w:tblW w:w="7482" w:type="dxa"/>
        <w:jc w:val="left"/>
        <w:tblInd w:w="0" w:type="dxa"/>
        <w:tblLayout w:type="fixed"/>
        <w:tblCellMar>
          <w:top w:w="28" w:type="dxa"/>
          <w:left w:w="28" w:type="dxa"/>
          <w:bottom w:w="28" w:type="dxa"/>
          <w:right w:w="28" w:type="dxa"/>
        </w:tblCellMar>
      </w:tblPr>
      <w:tblGrid>
        <w:gridCol w:w="1400"/>
        <w:gridCol w:w="1232"/>
        <w:gridCol w:w="1238"/>
        <w:gridCol w:w="109"/>
        <w:gridCol w:w="109"/>
        <w:gridCol w:w="109"/>
        <w:gridCol w:w="196"/>
        <w:gridCol w:w="961"/>
        <w:gridCol w:w="256"/>
        <w:gridCol w:w="109"/>
        <w:gridCol w:w="109"/>
        <w:gridCol w:w="109"/>
        <w:gridCol w:w="207"/>
        <w:gridCol w:w="1019"/>
        <w:gridCol w:w="319"/>
      </w:tblGrid>
      <w:tr>
        <w:trPr/>
        <w:tc>
          <w:tcPr>
            <w:tcW w:w="140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Regulatory Capital and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18</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Regulatory Capital </w:t>
            </w:r>
            <w:r>
              <w:rPr>
                <w:rFonts w:ascii="Times New Roman;serif" w:hAnsi="Times New Roman;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1,506,212 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 of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from 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Net Unrealized Losses on Investment Securities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224,185 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1,750,946 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1,728,810 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Net of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336,101 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2,087,047 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2,064,911 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Allowable Reserve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148,404 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Regulatory Capital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2,236,323 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2,213,315 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Risk-Weighted Assets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14,442,396 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14,246,238 </w:t>
            </w:r>
          </w:p>
        </w:tc>
        <w:tc>
          <w:tcPr>
            <w:tcW w:w="3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Key Regulatory Capital Ratios</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Regulatory capital ratios as of June 30, 2026 are preliminary.</w:t>
      </w:r>
    </w:p>
    <w:p>
      <w:pPr>
        <w:pStyle w:val="TextBody"/>
        <w:bidi w:val="0"/>
        <w:spacing w:lineRule="auto" w:line="288" w:before="0" w:after="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Includes unrealized gains and losses related to the Company’s reclassification of AFS investment securities to the HTM category. </w:t>
      </w:r>
    </w:p>
    <w:p>
      <w:pPr>
        <w:pStyle w:val="TextBody"/>
        <w:bidi w:val="0"/>
        <w:spacing w:before="0" w:after="0"/>
        <w:ind w:left="0" w:right="0" w:firstLine="27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Shareholders' Equity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shareholders’ equity was $1.9 billion, an increase of $24.3 million or 1.3% from December 31, 2025. The increase was attributed to net income of $121.2 million, share-based compensation of $10.1 million, common stock issued under purchase and equity compensation plans of $2.4 million, and other comprehensive income of $1.0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which were offset by cash dividends declared of $56.2 million on common shares, cash dividends declared of $10.5 million on preferred shares, common stock repurchased under the share repurchase program of $32.1 million, and common stock repurchased of $11.7 million related to taxes withheld for share-based compensation.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410,091 shares of common stock at an average cost per share of $78.24 and total cost of $32.1 million under the share repurchase program. Remaining buyback authority under our share repurchase program was $88.9 million as of June 30, 2026. The actual amount and timing of future share repurchases, if any, will depend on market and economic conditions, regulatory rules, applicable SEC rules, and various other factors.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2026,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The dividends on the Series A Preferred Stock and Series B Preferred Stock will be payable on August 3, 2026, to shareholders of record at the close of business on July 17,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2026, the Parent’s Board of Directors declared a quarterly cash dividend of $0.70 per share on the Parent’s outstanding common shares. The dividend will be payable on September 15, 2026, to shareholders of record of the common stock at the close of business on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Operational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Operational Risk and Compliance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Off-Balance Sheet Arrangements, Credit Commitments, and Contractual Obligations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Credit Commitments and Contractual Obligations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credit commitments and contractual obligations have not changed materially since previously reported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“Market Risk” of this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2026. Based on this evaluation, the Chief Executive Officer and Chief Financial Officer concluded that the Company’s disclosure controls and procedures were effective as of June 30,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Rules 13a-15(f) and 15d-15(f) under the Exchange Act) that occurred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left"/>
        <w:rPr/>
      </w:pPr>
      <w:r>
        <w:rPr>
          <w:rFonts w:ascii="Times New Roman;serif" w:hAnsi="Times New Roman;serif"/>
          <w:b w:val="false"/>
          <w:color w:val="000000"/>
          <w:sz w:val="20"/>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unaudited Consolidated Financial Statements set forth in Item 1, Part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from the risk factors set forth under Part I, Item 1A. “Risk Factors” in the Company’s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the Company's stock during the quarter.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Parent’s repurchases of its common stock during the second quarter of 2026 were as follows:</w:t>
      </w:r>
    </w:p>
    <w:tbl>
      <w:tblPr>
        <w:tblW w:w="10205" w:type="dxa"/>
        <w:jc w:val="left"/>
        <w:tblInd w:w="0" w:type="dxa"/>
        <w:tblLayout w:type="fixed"/>
        <w:tblCellMar>
          <w:top w:w="28" w:type="dxa"/>
          <w:left w:w="28" w:type="dxa"/>
          <w:bottom w:w="28" w:type="dxa"/>
          <w:right w:w="28" w:type="dxa"/>
        </w:tblCellMar>
      </w:tblPr>
      <w:tblGrid>
        <w:gridCol w:w="505"/>
        <w:gridCol w:w="445"/>
        <w:gridCol w:w="446"/>
        <w:gridCol w:w="109"/>
        <w:gridCol w:w="109"/>
        <w:gridCol w:w="109"/>
        <w:gridCol w:w="436"/>
        <w:gridCol w:w="436"/>
        <w:gridCol w:w="437"/>
        <w:gridCol w:w="109"/>
        <w:gridCol w:w="109"/>
        <w:gridCol w:w="109"/>
        <w:gridCol w:w="273"/>
        <w:gridCol w:w="776"/>
        <w:gridCol w:w="152"/>
        <w:gridCol w:w="109"/>
        <w:gridCol w:w="109"/>
        <w:gridCol w:w="109"/>
        <w:gridCol w:w="736"/>
        <w:gridCol w:w="736"/>
        <w:gridCol w:w="738"/>
        <w:gridCol w:w="109"/>
        <w:gridCol w:w="109"/>
        <w:gridCol w:w="109"/>
        <w:gridCol w:w="388"/>
        <w:gridCol w:w="2083"/>
        <w:gridCol w:w="310"/>
      </w:tblGrid>
      <w:tr>
        <w:trPr/>
        <w:tc>
          <w:tcPr>
            <w:tcW w:w="5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Issuer Purchases of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2</w:t>
            </w:r>
          </w:p>
        </w:tc>
      </w:tr>
      <w:tr>
        <w:trPr/>
        <w:tc>
          <w:tcPr>
            <w:tcW w:w="13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103,058,847 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1 - 31,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93,626,951 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88,905,554 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220,581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During the second quarter of 2026, 4,586 shares were acquired from employees in connection with income tax withholdings related to the vesting of restricted stock. The shares were purchased at the closing price of the Parent’s common stock on the dates of purchase.</w:t>
      </w:r>
    </w:p>
    <w:p>
      <w:pPr>
        <w:pStyle w:val="TextBody"/>
        <w:bidi w:val="0"/>
        <w:spacing w:lineRule="auto" w:line="288" w:before="0" w:after="200"/>
        <w:ind w:left="0" w:right="0" w:hanging="450"/>
        <w:jc w:val="left"/>
        <w:rPr/>
      </w:pPr>
      <w:r>
        <w:rPr>
          <w:rFonts w:ascii="Times New Roman;serif" w:hAnsi="Times New Roman;serif"/>
          <w:b w:val="false"/>
          <w:color w:val="000000"/>
          <w:sz w:val="10"/>
        </w:rPr>
        <w:t>2</w:t>
      </w:r>
      <w:r>
        <w:rPr>
          <w:rFonts w:ascii="Times New Roman;serif" w:hAnsi="Times New Roman;serif"/>
          <w:b w:val="false"/>
          <w:color w:val="000000"/>
          <w:sz w:val="16"/>
        </w:rPr>
        <w:t>The share repurchase program was first announced in July 2001 with an initial authorization to repurchase $70 million in shares of common stock. The Board increased the share repurchase program, most recently in January 2023 by $100 million. The share repurchase program has no set expiration or termination date. The actual amount and timing of future share repurchases, if any, will depend on market and economic conditions, regulatory rules, applicable SEC rules, and various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the Company’s directors or executive officers informed the Company of the adoption, modification, or termination of any contract, instruction or written plan for the purchase or sale of Company securities that was intended to satisfy the affirmative defense conditions of Rule 10b5-1(c) or any non-Rule 10b5-1 trading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8"/>
        <w:gridCol w:w="272"/>
        <w:gridCol w:w="273"/>
        <w:gridCol w:w="109"/>
        <w:gridCol w:w="109"/>
        <w:gridCol w:w="109"/>
        <w:gridCol w:w="2743"/>
        <w:gridCol w:w="2599"/>
        <w:gridCol w:w="3683"/>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Certificate of Incorporation of Bank of Hawaii Corporation (f/k/a Pacific Century Financial Corporation and Bancorp Hawaii, Inc.), as amended (incorporated by reference to Exhibit 3.1 to Bank of Hawaii Corporation’s Annual Report on Form 10-K for its fiscal year ended December 31, 2005 filed on February 28, 2006).</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Certificate of Amendment of Certificate of Incorporation of Bank of Hawaii Corporation (incorporated by reference to Exhibit 3.1 to Bank of Hawaii Corporation’s Current Report on Form 8-K filed on April 30, 2008).</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Certificate of Designations of 4.375% Fixed Rate Non-Cumulative Perpetual Preferred Stock, Series A (incorporated by reference to Exhibit 3.1 to Bank of Hawaii Corporation’s Current Report on Form 8-K filed on June 15, 2021).</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Certificate of Designations of 8.000% Fixed Rate Non-Cumulative Perpetual Preferred Stock, Series B (incorporated by reference to Exhibit 3.1 to Bank of Hawaii Corporation’s Current Report on Form 8-K filed on June 21, 2024).</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Amended and Restated By-laws of Bank of Hawaii Corporation (as amended November 20, 2020) (incorporated by reference to Exhibit 3.2 to Bank of Hawaii Corporation’s Current Report on Form 8-K filed on November 23, 2020).</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Deposit Agreement, dated June 15, 2021, by and among Bank of Hawaii Corporation, Computershare Inc. and Computershare Trust Company, N.A., jointly as depositary, and the holders from time to time of the depositary receipts described therein (incorporated by reference to Exhibit 4.1 to Bank of Hawaii Corporation’s Current Report on Form 8-K filed with the SEC on June 15, 2021)</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Form of Depository Receipt, Series A (included in Exhibit 4.1)</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Deposit Agreement, dated June 21, 2024, by and among Bank of Hawaii Corporation, Computershare Inc. and Computershare Trust Company, N.A., jointly as depositary, and the holders from time to time of the depositary receipts described therein (incorporated by reference to Exhibit 4.1 to Bank of Hawaii Corporation’s Current Report on Form 8-K filed with the SEC on June 21, 2024)</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Form of Depository Receipt, Series B (included in Exhibit 4.3)</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defining the rights of holders of long-term debt of Bank of Hawaii Corporation and its consolidated subsidiaries are not filed as exhibits because the amount of debt authorized under any such instruments does not exceed 10% of the total assets of Bank of Hawaii Corporation and its consolidated subsidiaries. Bank of Hawaii Corporation agrees to furnish a copy of any such instrument to the Commission upon request.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Bank of Hawaii Corporation’s Executive Incentive Plan, as amended (incorporated by reference from Exhibit 10.2 to the 2005 10-K).</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80"/>
                  <w:sz w:val="18"/>
                  <w:u w:val="single"/>
                </w:rPr>
                <w:t>Bank of Hawaii Corporation’s Executive Base Salary Deferral Plan (incorporated by reference from Exhibit 10.1 to the Bank of Hawaii Corporation’s Current Report on Form 8-K filed on December 22, 2005)</w:t>
              </w:r>
            </w:hyperlink>
            <w:hyperlink r:id="rId13">
              <w:r>
                <w:rPr>
                  <w:rStyle w:val="InternetLink"/>
                  <w:rFonts w:ascii="Times New Roman;serif" w:hAnsi="Times New Roman;serif"/>
                  <w:b w:val="false"/>
                  <w:color w:val="000080"/>
                  <w:sz w:val="18"/>
                  <w:u w:val="single"/>
                </w:rPr>
                <w:t>.</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80"/>
                  <w:sz w:val="18"/>
                  <w:u w:val="single"/>
                </w:rPr>
                <w:t>B</w:t>
              </w:r>
            </w:hyperlink>
            <w:hyperlink r:id="rId15">
              <w:r>
                <w:rPr>
                  <w:rStyle w:val="InternetLink"/>
                  <w:rFonts w:ascii="Times New Roman;serif" w:hAnsi="Times New Roman;serif"/>
                  <w:b w:val="false"/>
                  <w:color w:val="000080"/>
                  <w:sz w:val="18"/>
                  <w:u w:val="single"/>
                </w:rPr>
                <w:t>oard Resolution for Amendment to the Restricted Stock and Option Awards under the Bank of Hawaii Corporation’s Amended and Restated Director Stock Compensation Plan (incorporated by reference from Exhibit 10.1 to Bank of Hawaii Corporation’s Current Report on Form 8-K, as filed on July 28, 2008).</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8"/>
                  <w:u w:val="single"/>
                </w:rPr>
                <w:t>Amendment 2010-1 to the Bank of Hawaii Corporation Executive Incentive Plan (incorporated by reference from Exhibit 10.1 to the Bank of Hawaii Corporation’s Current Report on Form 8-K, as filed on July 26, 2010).</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8"/>
                  <w:u w:val="single"/>
                </w:rPr>
                <w:t>Bank of Hawaii Corporation 2024 Stock and Incentive Plan (incorporated by reference from Appendix A to the Company’s Definitive Proxy Statement on Schedule 14A for the 2024 Annual Meeting of Shareholders, as filed with the SEC on March 15, 2024).</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80"/>
                  <w:sz w:val="18"/>
                  <w:u w:val="single"/>
                </w:rPr>
                <w:t>Bank of Hawaii Corporation’s 2024 Stock and Incentive Plan - Form of 2024 Restricted Stock Unit Grant Agreement (incorporated by reference to Exhibit 99.2 to the Company’s Registration Statement on Form S-8 (SEC File No. 333-278972) filed on April 26, 2024)</w:t>
              </w:r>
            </w:hyperlink>
            <w:hyperlink r:id="rId19">
              <w:r>
                <w:rPr>
                  <w:rStyle w:val="InternetLink"/>
                  <w:rFonts w:ascii="Times New Roman;serif" w:hAnsi="Times New Roman;serif"/>
                  <w:b w:val="false"/>
                  <w:color w:val="000080"/>
                  <w:sz w:val="18"/>
                  <w:u w:val="single"/>
                </w:rPr>
                <w:t>.</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18"/>
                  <w:u w:val="single"/>
                </w:rPr>
                <w:t>Bank of Hawaii Corporation 2024 Stock and Incentive Plan - Restricted Stock Unit Grant Agreement (Service Based) (incorporated by reference to Exhibit 10.1 to Bank of Hawaii Corporation’s Current Report on Form 8-K filed on January 30, 2025).</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27b990af1fa4ce0a68a38e566b9786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9"/>
        <w:gridCol w:w="200"/>
        <w:gridCol w:w="205"/>
        <w:gridCol w:w="109"/>
        <w:gridCol w:w="109"/>
        <w:gridCol w:w="109"/>
        <w:gridCol w:w="2768"/>
        <w:gridCol w:w="2679"/>
        <w:gridCol w:w="3797"/>
      </w:tblGrid>
      <w:tr>
        <w:trPr/>
        <w:tc>
          <w:tcPr>
            <w:tcW w:w="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18"/>
                  <w:u w:val="single"/>
                </w:rPr>
                <w:t>Bank of Hawaii Corporation 2024 Stock and Incentive Plan - Restricted Stock Unit Grant Agreement (Performance Based) (incorporated by reference to Exhibit 10.1 to Bank of Hawaii Corporation’s Current Report on Form 8-K filed on March 4, 2025).</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18"/>
                  <w:u w:val="single"/>
                </w:rPr>
                <w:t>Form of Restricted Stock Agreement under Bank of Hawaii Corporation 2025 Director Stock Compensation Plan (incorporated by reference to Exhibit 10.2 to Bank of Hawaii Corporation’s Current Report on Form 8-K filed on April 30, 2025).</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18"/>
                  <w:u w:val="single"/>
                </w:rPr>
                <w:t>Bank of Hawaii Corporation’s Composite Directors’ Deferred Compensation Plan, as amended through July 1, 2025 (incorporated by reference from Exhibit 10.1 to Bank of Hawaii Corporation’s Quarterly Report on Form 10-Q for the quarter ended June 30, 2025, as filed on July 28, 2025).</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60630xex31110q.htm">
              <w:r>
                <w:rPr>
                  <w:rStyle w:val="InternetLink"/>
                  <w:rFonts w:ascii="Times New Roman;serif" w:hAnsi="Times New Roman;serif"/>
                  <w:b w:val="false"/>
                  <w:color w:val="0000FF"/>
                  <w:sz w:val="18"/>
                  <w:u w:val="single"/>
                </w:rPr>
                <w:t>Certification of Chief Executive Officer Pursuant to Rule 13a-14(a) of the Securities Exchange Act of 1934, as Amended, Adopted Pursuant to Section 302 of the Sarbanes Oxley Act of 2002</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60630xex31210q.htm">
              <w:r>
                <w:rPr>
                  <w:rStyle w:val="InternetLink"/>
                  <w:rFonts w:ascii="Times New Roman;serif" w:hAnsi="Times New Roman;serif"/>
                  <w:b w:val="false"/>
                  <w:color w:val="0000FF"/>
                  <w:sz w:val="18"/>
                  <w:u w:val="single"/>
                </w:rPr>
                <w:t>Certification of Chief Financial Officer Pursuant to Rule 13a-14(a) of the Securities Exchange Act of 1934, as Amended, Adopted Pursuant to Section 302 of the Sarbanes Oxley Act of 2002</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60630xex3210q.htm">
              <w:r>
                <w:rPr>
                  <w:rStyle w:val="InternetLink"/>
                  <w:rFonts w:ascii="Times New Roman;serif" w:hAnsi="Times New Roman;serif"/>
                  <w:b w:val="false"/>
                  <w:color w:val="0000FF"/>
                  <w:sz w:val="18"/>
                  <w:u w:val="single"/>
                </w:rPr>
                <w:t>Certification of Chief Executive Officer and Chief Financial Officer Pursuant to 18 U.S.C. Section 1350, as Adopted Pursuant to Section 906 of the Sarbanes-Oxley Act of 2002</w:t>
              </w:r>
            </w:hyperlink>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Valuation Linkbase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for the Company’s Quarterly Report on the Form 10-Q has been formatted in Inline XBRL and contained in Exhibit 101</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*Management contract or compensatory plan or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00"/>
        <w:jc w:val="left"/>
        <w:rPr/>
      </w:pPr>
      <w:hyperlink w:anchor="id27b990af1fa4ce0a68a38e566b97860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49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265"/>
        <w:gridCol w:w="1265"/>
        <w:gridCol w:w="17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of the Securities Exchange Act of 1934, as Amended,</w:t>
      </w:r>
    </w:p>
    <w:p>
      <w:pPr>
        <w:pStyle w:val="TextBody"/>
        <w:bidi w:val="0"/>
        <w:spacing w:lineRule="auto" w:line="288" w:before="0" w:after="320"/>
        <w:jc w:val="center"/>
        <w:rPr>
          <w:rFonts w:ascii="Times New Roman;serif" w:hAnsi="Times New Roman;serif"/>
          <w:b/>
          <w:color w:val="000000"/>
          <w:sz w:val="20"/>
        </w:rPr>
      </w:pPr>
      <w:r>
        <w:rPr>
          <w:rFonts w:ascii="Times New Roman;serif" w:hAnsi="Times New Roman;serif"/>
          <w:b/>
          <w:color w:val="000000"/>
          <w:sz w:val="20"/>
        </w:rPr>
        <w:t>Adopted Pursuant to Section 302 of the Sarbanes-Oxley Act of 2002</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 James C. Polk, certify that: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Bank of Hawaii Corporation;</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ind w:left="0" w:right="0" w:hanging="360"/>
        <w:jc w:val="left"/>
        <w:rPr/>
      </w:pPr>
      <w:r>
        <w:rPr/>
      </w:r>
    </w:p>
    <w:tbl>
      <w:tblPr>
        <w:tblW w:w="4978"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of the Securities Exchange Act of 1934, as Amended,</w:t>
      </w:r>
    </w:p>
    <w:p>
      <w:pPr>
        <w:pStyle w:val="TextBody"/>
        <w:bidi w:val="0"/>
        <w:spacing w:lineRule="auto" w:line="288" w:before="0" w:after="320"/>
        <w:jc w:val="center"/>
        <w:rPr>
          <w:rFonts w:ascii="Times New Roman;serif" w:hAnsi="Times New Roman;serif"/>
          <w:b/>
          <w:color w:val="000000"/>
          <w:sz w:val="20"/>
        </w:rPr>
      </w:pPr>
      <w:r>
        <w:rPr>
          <w:rFonts w:ascii="Times New Roman;serif" w:hAnsi="Times New Roman;serif"/>
          <w:b/>
          <w:color w:val="000000"/>
          <w:sz w:val="20"/>
        </w:rPr>
        <w:t>Adopted Pursuant to Section 302 of the Sarbanes-Oxley Act of 2002</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 Bradley S. Satenberg, certify that: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Bank of Hawaii Corporation;</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ind w:left="0" w:right="0" w:hanging="180"/>
        <w:jc w:val="left"/>
        <w:rPr/>
      </w:pPr>
      <w:r>
        <w:rPr/>
      </w:r>
    </w:p>
    <w:tbl>
      <w:tblPr>
        <w:tblW w:w="3853"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609"/>
        <w:gridCol w:w="609"/>
        <w:gridCol w:w="8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James C. Polk, President and Chief Executive Officer, and I, Bradley S. Satenberg, Chief Financial Officer, of Bank of Hawaii Corporation (the “Company”), hereby certify that the Company's Quarterly Report on Form 10-Q for the quarter ended June 30, 2026 (the “Report”):</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fully complies with the requirements of Section 13(a) or 15(d), as applicable, of the Securities Exchange Act of 1934, as amended; and</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0" w:after="200"/>
        <w:ind w:left="0" w:right="0" w:hanging="360"/>
        <w:jc w:val="left"/>
        <w:rPr/>
      </w:pPr>
      <w:r>
        <w:rPr/>
      </w:r>
    </w:p>
    <w:tbl>
      <w:tblPr>
        <w:tblW w:w="4978"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C. Polk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46195/000104746906002592/a2167652zex-3_1.htm" TargetMode="External"/><Relationship Id="rId3" Type="http://schemas.openxmlformats.org/officeDocument/2006/relationships/hyperlink" Target="https://www.sec.gov/Archives/edgar/data/0000046195/000110465908028414/a08-13016_1ex3d1.htm" TargetMode="External"/><Relationship Id="rId4" Type="http://schemas.openxmlformats.org/officeDocument/2006/relationships/hyperlink" Target="https://www.sec.gov/Archives/edgar/data/0000046195/000119312521191143/d184114dex31.htm" TargetMode="External"/><Relationship Id="rId5" Type="http://schemas.openxmlformats.org/officeDocument/2006/relationships/hyperlink" Target="https://www.sec.gov/Archives/edgar/data/46195/000119312524165835/d831633dex31.htm" TargetMode="External"/><Relationship Id="rId6" Type="http://schemas.openxmlformats.org/officeDocument/2006/relationships/hyperlink" Target="https://www.sec.gov/Archives/edgar/data/46195/000156459020054889/boh-ex32_6.htm" TargetMode="External"/><Relationship Id="rId7" Type="http://schemas.openxmlformats.org/officeDocument/2006/relationships/hyperlink" Target="https://www.sec.gov/Archives/edgar/data/0000046195/000119312521191143/d184114dex41.htm" TargetMode="External"/><Relationship Id="rId8" Type="http://schemas.openxmlformats.org/officeDocument/2006/relationships/hyperlink" Target="https://www.sec.gov/Archives/edgar/data/0000046195/000119312521191143/d184114dex41.htm" TargetMode="External"/><Relationship Id="rId9" Type="http://schemas.openxmlformats.org/officeDocument/2006/relationships/hyperlink" Target="https://www.sec.gov/Archives/edgar/data/0000046195/000119312524165835/d831633dex41.htm" TargetMode="External"/><Relationship Id="rId10" Type="http://schemas.openxmlformats.org/officeDocument/2006/relationships/hyperlink" Target="https://www.sec.gov/Archives/edgar/data/0000046195/000119312524165835/d831633dex41.htm" TargetMode="External"/><Relationship Id="rId11" Type="http://schemas.openxmlformats.org/officeDocument/2006/relationships/hyperlink" Target="https://www.sec.gov/Archives/edgar/data/46195/000104746906002592/a2167652zex-10_2.htm" TargetMode="External"/><Relationship Id="rId12" Type="http://schemas.openxmlformats.org/officeDocument/2006/relationships/hyperlink" Target="https://www.sec.gov/Archives/edgar/data/46195/000110465905062392/a05-22324_1ex10d1.htm" TargetMode="External"/><Relationship Id="rId13" Type="http://schemas.openxmlformats.org/officeDocument/2006/relationships/hyperlink" Target="https://www.sec.gov/Archives/edgar/data/46195/000110465905062392/a05-22324_1ex10d1.htm" TargetMode="External"/><Relationship Id="rId14" Type="http://schemas.openxmlformats.org/officeDocument/2006/relationships/hyperlink" Target="https://www.sec.gov/Archives/edgar/data/46195/000110465908048064/a08-20192_1ex10d1.htm" TargetMode="External"/><Relationship Id="rId15" Type="http://schemas.openxmlformats.org/officeDocument/2006/relationships/hyperlink" Target="https://www.sec.gov/Archives/edgar/data/46195/000110465908048064/a08-20192_1ex10d1.htm" TargetMode="External"/><Relationship Id="rId16" Type="http://schemas.openxmlformats.org/officeDocument/2006/relationships/hyperlink" Target="https://www.sec.gov/Archives/edgar/data/46195/000110465910039479/a10-14620_1ex10d1.htm" TargetMode="External"/><Relationship Id="rId17" Type="http://schemas.openxmlformats.org/officeDocument/2006/relationships/hyperlink" Target="https://www.sec.gov/ix?doc=/Archives/edgar/data/46195/000095017024032071/boh-20240311.htm" TargetMode="External"/><Relationship Id="rId18" Type="http://schemas.openxmlformats.org/officeDocument/2006/relationships/hyperlink" Target="https://www.sec.gov/Archives/edgar/data/46195/000095017024049304/boh-ex99_2.htm" TargetMode="External"/><Relationship Id="rId19" Type="http://schemas.openxmlformats.org/officeDocument/2006/relationships/hyperlink" Target="https://www.sec.gov/Archives/edgar/data/46195/000095017024049304/boh-ex99_2.htm" TargetMode="External"/><Relationship Id="rId20" Type="http://schemas.openxmlformats.org/officeDocument/2006/relationships/hyperlink" Target="https://www.sec.gov/Archives/edgar/data/46195/000095017025010962/boh-ex10_1.htm" TargetMode="External"/><Relationship Id="rId21" Type="http://schemas.openxmlformats.org/officeDocument/2006/relationships/hyperlink" Target="https://www.sec.gov/Archives/edgar/data/46195/000095017025031938/boh-ex10_1.htm" TargetMode="External"/><Relationship Id="rId22" Type="http://schemas.openxmlformats.org/officeDocument/2006/relationships/hyperlink" Target="https://www.sec.gov/Archives/edgar/data/46195/000095017025061194/boh-ex10_2.htm" TargetMode="External"/><Relationship Id="rId23" Type="http://schemas.openxmlformats.org/officeDocument/2006/relationships/hyperlink" Target="https://www.sec.gov/Archives/edgar/data/46195/000162828025036240/ex101-compositedirectorsde.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32004</Words>
  <Characters>177357</Characters>
  <CharactersWithSpaces>205419</CharactersWithSpaces>
  <Paragraphs>8532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